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EA9AA">
      <w:pPr>
        <w:keepNext w:val="0"/>
        <w:keepLines w:val="0"/>
        <w:pageBreakBefore w:val="0"/>
        <w:kinsoku/>
        <w:wordWrap/>
        <w:bidi w:val="0"/>
        <w:spacing w:beforeLines="0" w:line="594" w:lineRule="exact"/>
        <w:jc w:val="left"/>
        <w:rPr>
          <w:rFonts w:ascii="黑体" w:hAnsi="黑体" w:eastAsia="黑体" w:cs="黑体"/>
          <w:bCs/>
          <w:color w:val="auto"/>
          <w:kern w:val="21"/>
          <w:sz w:val="32"/>
          <w:szCs w:val="32"/>
        </w:rPr>
      </w:pPr>
      <w:bookmarkStart w:id="9" w:name="_GoBack"/>
      <w:bookmarkEnd w:id="9"/>
      <w:r>
        <w:rPr>
          <w:rFonts w:hint="eastAsia" w:ascii="黑体" w:hAnsi="黑体" w:eastAsia="黑体" w:cs="黑体"/>
          <w:bCs/>
          <w:color w:val="auto"/>
          <w:kern w:val="21"/>
          <w:sz w:val="32"/>
          <w:szCs w:val="32"/>
        </w:rPr>
        <w:t>附件</w:t>
      </w:r>
    </w:p>
    <w:p w14:paraId="41348C93">
      <w:pPr>
        <w:keepNext w:val="0"/>
        <w:keepLines w:val="0"/>
        <w:pageBreakBefore w:val="0"/>
        <w:widowControl w:val="0"/>
        <w:kinsoku/>
        <w:wordWrap/>
        <w:bidi w:val="0"/>
        <w:spacing w:beforeLines="0" w:after="0" w:line="594" w:lineRule="exact"/>
        <w:jc w:val="center"/>
        <w:rPr>
          <w:rFonts w:ascii="Calibri" w:hAnsi="Calibri" w:eastAsia="仿宋_GB2312" w:cs="Times New Roman"/>
          <w:color w:val="auto"/>
          <w:kern w:val="21"/>
          <w:sz w:val="32"/>
          <w:szCs w:val="24"/>
          <w:lang w:val="en-US" w:eastAsia="zh-CN" w:bidi="ar-SA"/>
        </w:rPr>
      </w:pPr>
    </w:p>
    <w:p w14:paraId="650F6A8F">
      <w:pPr>
        <w:keepNext w:val="0"/>
        <w:keepLines w:val="0"/>
        <w:pageBreakBefore w:val="0"/>
        <w:kinsoku/>
        <w:wordWrap/>
        <w:bidi w:val="0"/>
        <w:spacing w:beforeLines="0" w:line="594" w:lineRule="exact"/>
        <w:jc w:val="center"/>
        <w:rPr>
          <w:rFonts w:hint="eastAsia" w:ascii="方正小标宋简体" w:hAnsi="方正小标宋简体" w:eastAsia="方正小标宋简体" w:cs="方正小标宋简体"/>
          <w:bCs/>
          <w:color w:val="auto"/>
          <w:kern w:val="21"/>
          <w:sz w:val="44"/>
          <w:szCs w:val="44"/>
        </w:rPr>
      </w:pPr>
      <w:r>
        <w:rPr>
          <w:rFonts w:hint="eastAsia" w:ascii="方正小标宋简体" w:hAnsi="方正小标宋简体" w:eastAsia="方正小标宋简体" w:cs="方正小标宋简体"/>
          <w:bCs/>
          <w:color w:val="auto"/>
          <w:kern w:val="21"/>
          <w:sz w:val="44"/>
          <w:szCs w:val="44"/>
        </w:rPr>
        <w:t>2027—2028年广西糖料蔗良法技术</w:t>
      </w:r>
    </w:p>
    <w:p w14:paraId="01A245BC">
      <w:pPr>
        <w:keepNext w:val="0"/>
        <w:keepLines w:val="0"/>
        <w:pageBreakBefore w:val="0"/>
        <w:kinsoku/>
        <w:wordWrap/>
        <w:bidi w:val="0"/>
        <w:spacing w:beforeLines="0" w:line="594" w:lineRule="exact"/>
        <w:jc w:val="center"/>
        <w:rPr>
          <w:rFonts w:hint="eastAsia" w:ascii="方正小标宋简体" w:hAnsi="方正小标宋简体" w:eastAsia="方正小标宋简体" w:cs="方正小标宋简体"/>
          <w:bCs/>
          <w:color w:val="auto"/>
          <w:kern w:val="21"/>
          <w:sz w:val="44"/>
          <w:szCs w:val="44"/>
        </w:rPr>
      </w:pPr>
      <w:r>
        <w:rPr>
          <w:rFonts w:hint="eastAsia" w:ascii="方正小标宋简体" w:hAnsi="方正小标宋简体" w:eastAsia="方正小标宋简体" w:cs="方正小标宋简体"/>
          <w:bCs/>
          <w:color w:val="auto"/>
          <w:kern w:val="21"/>
          <w:sz w:val="44"/>
          <w:szCs w:val="44"/>
        </w:rPr>
        <w:t>推广工作实施方案</w:t>
      </w:r>
    </w:p>
    <w:p w14:paraId="607C8CD7">
      <w:pPr>
        <w:keepNext w:val="0"/>
        <w:keepLines w:val="0"/>
        <w:pageBreakBefore w:val="0"/>
        <w:kinsoku/>
        <w:wordWrap/>
        <w:bidi w:val="0"/>
        <w:spacing w:beforeLines="0" w:line="594" w:lineRule="exact"/>
        <w:jc w:val="center"/>
        <w:rPr>
          <w:rFonts w:ascii="楷体_GB2312" w:hAnsi="楷体_GB2312" w:eastAsia="楷体_GB2312" w:cs="楷体_GB2312"/>
          <w:bCs/>
          <w:color w:val="auto"/>
          <w:kern w:val="21"/>
          <w:sz w:val="32"/>
          <w:szCs w:val="32"/>
        </w:rPr>
      </w:pPr>
      <w:r>
        <w:rPr>
          <w:rFonts w:hint="eastAsia" w:ascii="楷体_GB2312" w:hAnsi="楷体_GB2312" w:eastAsia="楷体_GB2312" w:cs="楷体_GB2312"/>
          <w:bCs/>
          <w:color w:val="auto"/>
          <w:kern w:val="21"/>
          <w:sz w:val="32"/>
          <w:szCs w:val="32"/>
        </w:rPr>
        <w:t>（</w:t>
      </w:r>
      <w:r>
        <w:rPr>
          <w:rFonts w:hint="eastAsia" w:ascii="楷体_GB2312" w:hAnsi="楷体_GB2312" w:eastAsia="楷体_GB2312" w:cs="楷体_GB2312"/>
          <w:bCs/>
          <w:color w:val="auto"/>
          <w:kern w:val="21"/>
          <w:sz w:val="32"/>
          <w:szCs w:val="32"/>
          <w:lang w:eastAsia="zh-CN"/>
        </w:rPr>
        <w:t>公开</w:t>
      </w:r>
      <w:r>
        <w:rPr>
          <w:rFonts w:hint="eastAsia" w:ascii="楷体_GB2312" w:hAnsi="楷体_GB2312" w:eastAsia="楷体_GB2312" w:cs="楷体_GB2312"/>
          <w:bCs/>
          <w:color w:val="auto"/>
          <w:kern w:val="21"/>
          <w:sz w:val="32"/>
          <w:szCs w:val="32"/>
        </w:rPr>
        <w:t>征求意见稿）</w:t>
      </w:r>
    </w:p>
    <w:p w14:paraId="2A8FF2CE">
      <w:pPr>
        <w:keepNext w:val="0"/>
        <w:keepLines w:val="0"/>
        <w:pageBreakBefore w:val="0"/>
        <w:kinsoku/>
        <w:wordWrap/>
        <w:bidi w:val="0"/>
        <w:adjustRightInd/>
        <w:snapToGrid/>
        <w:spacing w:beforeLines="0" w:line="594" w:lineRule="exact"/>
        <w:ind w:firstLine="0" w:firstLineChars="0"/>
        <w:jc w:val="center"/>
        <w:rPr>
          <w:rFonts w:eastAsia="仿宋_GB2312"/>
          <w:snapToGrid w:val="0"/>
          <w:color w:val="auto"/>
          <w:kern w:val="21"/>
          <w:sz w:val="32"/>
        </w:rPr>
      </w:pPr>
    </w:p>
    <w:p w14:paraId="1232062C">
      <w:pPr>
        <w:keepNext w:val="0"/>
        <w:keepLines w:val="0"/>
        <w:pageBreakBefore w:val="0"/>
        <w:kinsoku/>
        <w:wordWrap/>
        <w:bidi w:val="0"/>
        <w:adjustRightInd/>
        <w:snapToGrid/>
        <w:spacing w:beforeLines="0" w:line="594" w:lineRule="exact"/>
        <w:ind w:firstLine="640" w:firstLineChars="200"/>
        <w:rPr>
          <w:rFonts w:ascii="Times New Roman" w:hAnsi="Times New Roman" w:eastAsia="楷体_GB2312"/>
          <w:snapToGrid w:val="0"/>
          <w:color w:val="auto"/>
          <w:kern w:val="21"/>
          <w:sz w:val="32"/>
        </w:rPr>
      </w:pPr>
      <w:r>
        <w:rPr>
          <w:rFonts w:ascii="Times New Roman" w:hAnsi="Times New Roman" w:eastAsia="仿宋_GB2312"/>
          <w:snapToGrid w:val="0"/>
          <w:color w:val="auto"/>
          <w:kern w:val="21"/>
          <w:sz w:val="32"/>
        </w:rPr>
        <w:t>为贯彻国家关于糖业发展的支持政策，落实自治区人民政府办公厅《加快提升糖料蔗机械化收获水平三年行动方案（2025—2027年）》工作部署，做好政策供给和资金保障，制定本方案。</w:t>
      </w:r>
    </w:p>
    <w:p w14:paraId="4D259860">
      <w:pPr>
        <w:keepNext w:val="0"/>
        <w:keepLines w:val="0"/>
        <w:pageBreakBefore w:val="0"/>
        <w:kinsoku/>
        <w:wordWrap/>
        <w:bidi w:val="0"/>
        <w:adjustRightInd/>
        <w:snapToGrid/>
        <w:spacing w:beforeLines="0" w:line="594" w:lineRule="exact"/>
        <w:ind w:firstLine="640" w:firstLineChars="200"/>
        <w:rPr>
          <w:rFonts w:ascii="Times New Roman" w:hAnsi="Times New Roman" w:eastAsia="黑体"/>
          <w:snapToGrid w:val="0"/>
          <w:color w:val="auto"/>
          <w:kern w:val="21"/>
          <w:sz w:val="32"/>
        </w:rPr>
      </w:pPr>
      <w:r>
        <w:rPr>
          <w:rFonts w:ascii="Times New Roman" w:hAnsi="Times New Roman" w:eastAsia="黑体"/>
          <w:snapToGrid w:val="0"/>
          <w:color w:val="auto"/>
          <w:kern w:val="21"/>
          <w:sz w:val="32"/>
        </w:rPr>
        <w:t>一、推广糖料蔗生产机械化技术</w:t>
      </w:r>
    </w:p>
    <w:p w14:paraId="4887825E">
      <w:pPr>
        <w:keepNext w:val="0"/>
        <w:keepLines w:val="0"/>
        <w:pageBreakBefore w:val="0"/>
        <w:kinsoku/>
        <w:wordWrap/>
        <w:bidi w:val="0"/>
        <w:adjustRightInd/>
        <w:snapToGrid/>
        <w:spacing w:beforeLines="0" w:line="594" w:lineRule="exact"/>
        <w:ind w:firstLine="640" w:firstLineChars="200"/>
        <w:rPr>
          <w:rFonts w:ascii="Times New Roman" w:hAnsi="Times New Roman" w:eastAsia="楷体_GB2312"/>
          <w:snapToGrid w:val="0"/>
          <w:color w:val="auto"/>
          <w:kern w:val="21"/>
          <w:sz w:val="32"/>
        </w:rPr>
      </w:pPr>
      <w:r>
        <w:rPr>
          <w:rFonts w:ascii="Times New Roman" w:hAnsi="Times New Roman" w:eastAsia="楷体_GB2312"/>
          <w:snapToGrid w:val="0"/>
          <w:color w:val="auto"/>
          <w:kern w:val="21"/>
          <w:sz w:val="32"/>
        </w:rPr>
        <w:t>（一）糖料蔗生产机械化作业补贴</w:t>
      </w:r>
    </w:p>
    <w:p w14:paraId="5B3780C2">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1.任务目标</w:t>
      </w:r>
    </w:p>
    <w:p w14:paraId="0EEAB071">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（1）推广种植行距在1.2米及以上，采用“北斗导航辅助驾驶一体化联合机种技术或北斗导航辅助驾驶+铺设滴管一体化联合机种技术”（以下简称“联合机种”），2027年、2028年新植蔗面积分别达60、65万亩以上。</w:t>
      </w:r>
    </w:p>
    <w:p w14:paraId="1462E4D0">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w:t>
      </w:r>
      <w:bookmarkStart w:id="0" w:name="_Hlk213079979"/>
      <w:r>
        <w:rPr>
          <w:rFonts w:hint="default" w:ascii="Times New Roman" w:hAnsi="Times New Roman" w:eastAsia="仿宋_GB2312" w:cs="Times New Roman"/>
          <w:snapToGrid w:val="0"/>
          <w:color w:val="auto"/>
          <w:kern w:val="21"/>
          <w:sz w:val="32"/>
        </w:rPr>
        <w:t>2026/2027年、2027/2028年榨季推广机械化除杂技术（以下简称“机械化除杂”，分为“机械化切段除杂”和“机械化整秆除杂”）作业量分别达600、700万吨以上。</w:t>
      </w:r>
    </w:p>
    <w:p w14:paraId="308E9043">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（3）推广糖料蔗机械化收获技术，2026/2027年榨季联合机收、割铺、割堆机收面积达</w:t>
      </w:r>
      <w:r>
        <w:rPr>
          <w:rFonts w:hint="default" w:ascii="Times New Roman" w:hAnsi="Times New Roman" w:eastAsia="仿宋_GB2312" w:cs="Times New Roman"/>
          <w:snapToGrid w:val="0"/>
          <w:color w:val="auto"/>
          <w:kern w:val="21"/>
          <w:sz w:val="32"/>
          <w:lang w:val="en"/>
        </w:rPr>
        <w:t>85</w:t>
      </w:r>
      <w:r>
        <w:rPr>
          <w:rFonts w:hint="default" w:ascii="Times New Roman" w:hAnsi="Times New Roman" w:eastAsia="仿宋_GB2312" w:cs="Times New Roman"/>
          <w:snapToGrid w:val="0"/>
          <w:color w:val="auto"/>
          <w:kern w:val="21"/>
          <w:sz w:val="32"/>
        </w:rPr>
        <w:t>万亩以上，2027/2028年榨季达150万亩以上。</w:t>
      </w:r>
    </w:p>
    <w:p w14:paraId="74B34E36">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2.补贴对象</w:t>
      </w:r>
    </w:p>
    <w:p w14:paraId="6D7877E1">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（1）联合机种补贴对象为糖料蔗种植主体。</w:t>
      </w:r>
    </w:p>
    <w:p w14:paraId="45D347F9">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w:t>
      </w:r>
      <w:bookmarkStart w:id="1" w:name="_Hlk213079724"/>
      <w:r>
        <w:rPr>
          <w:rFonts w:hint="default" w:ascii="Times New Roman" w:hAnsi="Times New Roman" w:eastAsia="仿宋_GB2312" w:cs="Times New Roman"/>
          <w:snapToGrid w:val="0"/>
          <w:color w:val="auto"/>
          <w:kern w:val="21"/>
          <w:sz w:val="32"/>
        </w:rPr>
        <w:t>机械化收获补贴对象为机械化作业主体和种植主体</w:t>
      </w:r>
      <w:bookmarkEnd w:id="1"/>
      <w:r>
        <w:rPr>
          <w:rFonts w:hint="default" w:ascii="Times New Roman" w:hAnsi="Times New Roman" w:eastAsia="仿宋_GB2312" w:cs="Times New Roman"/>
          <w:snapToGrid w:val="0"/>
          <w:color w:val="auto"/>
          <w:kern w:val="21"/>
          <w:sz w:val="32"/>
        </w:rPr>
        <w:t xml:space="preserve">。 </w:t>
      </w:r>
    </w:p>
    <w:p w14:paraId="740077E5">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（3）</w:t>
      </w:r>
      <w:bookmarkStart w:id="2" w:name="_Hlk213079830"/>
      <w:r>
        <w:rPr>
          <w:rFonts w:hint="default" w:ascii="Times New Roman" w:hAnsi="Times New Roman" w:eastAsia="仿宋_GB2312" w:cs="Times New Roman"/>
          <w:snapToGrid w:val="0"/>
          <w:color w:val="auto"/>
          <w:kern w:val="21"/>
          <w:sz w:val="32"/>
        </w:rPr>
        <w:t>机械化除杂作业补贴对象为机械化作业主体</w:t>
      </w:r>
      <w:bookmarkEnd w:id="2"/>
      <w:r>
        <w:rPr>
          <w:rFonts w:hint="default" w:ascii="Times New Roman" w:hAnsi="Times New Roman" w:eastAsia="仿宋_GB2312" w:cs="Times New Roman"/>
          <w:snapToGrid w:val="0"/>
          <w:color w:val="auto"/>
          <w:kern w:val="21"/>
          <w:sz w:val="32"/>
        </w:rPr>
        <w:t>。</w:t>
      </w:r>
    </w:p>
    <w:p w14:paraId="71D7D7FA">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3.补贴范围和补贴标准</w:t>
      </w:r>
    </w:p>
    <w:p w14:paraId="40B5099F">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（1）联合机种补贴：补贴标准为80元/亩。</w:t>
      </w:r>
    </w:p>
    <w:p w14:paraId="283C8707">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（2）种植主体机收补贴：</w:t>
      </w:r>
    </w:p>
    <w:p w14:paraId="1D142900">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①联合机收作业：</w:t>
      </w:r>
      <w:bookmarkStart w:id="3" w:name="_Hlk212198344"/>
      <w:r>
        <w:rPr>
          <w:rFonts w:hint="default" w:ascii="Times New Roman" w:hAnsi="Times New Roman" w:eastAsia="仿宋_GB2312" w:cs="Times New Roman"/>
          <w:snapToGrid w:val="0"/>
          <w:color w:val="auto"/>
          <w:kern w:val="21"/>
          <w:sz w:val="32"/>
        </w:rPr>
        <w:t>补贴标准为</w:t>
      </w:r>
      <w:bookmarkEnd w:id="3"/>
      <w:r>
        <w:rPr>
          <w:rFonts w:hint="default" w:ascii="Times New Roman" w:hAnsi="Times New Roman" w:eastAsia="仿宋_GB2312" w:cs="Times New Roman"/>
          <w:snapToGrid w:val="0"/>
          <w:color w:val="auto"/>
          <w:kern w:val="21"/>
          <w:sz w:val="32"/>
        </w:rPr>
        <w:t xml:space="preserve">180元/亩。 </w:t>
      </w:r>
    </w:p>
    <w:p w14:paraId="112EAFBF">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②割铺、割堆机收作业：补贴标准为75</w:t>
      </w:r>
      <w:r>
        <w:rPr>
          <w:rFonts w:hint="default" w:ascii="Times New Roman" w:hAnsi="Times New Roman" w:eastAsia="仿宋_GB2312" w:cs="Times New Roman"/>
          <w:snapToGrid w:val="0"/>
          <w:color w:val="auto"/>
          <w:kern w:val="21"/>
          <w:sz w:val="32"/>
          <w:lang w:val="en"/>
        </w:rPr>
        <w:t>元/亩。</w:t>
      </w:r>
    </w:p>
    <w:p w14:paraId="351C68E3">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（3）作业主体机收补贴：</w:t>
      </w:r>
    </w:p>
    <w:p w14:paraId="56FD939A">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①联合机收作业：</w:t>
      </w:r>
    </w:p>
    <w:p w14:paraId="1CBCF5F0">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单机单榨季全区总作业面积&lt;350亩，补贴标准为200元/亩；350亩</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单机单榨季全区总作业面积&lt;700亩，补贴标准为250元/亩；单机单榨季全区总作业面积</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700亩，补贴标准为300元/亩。</w:t>
      </w:r>
    </w:p>
    <w:p w14:paraId="1E431A1A">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②割铺、割堆机收作业：</w:t>
      </w:r>
    </w:p>
    <w:p w14:paraId="2051DC66">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单机单榨季全区总作业面积&lt;300亩，补贴标准为80元/亩；300亩</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单机单榨季全区总作业面积&lt;600亩，补贴标准为120元/亩；单机单榨季全区总作业面积</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600亩，补贴标准为160元/亩。</w:t>
      </w:r>
    </w:p>
    <w:p w14:paraId="4664B7D5">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color w:val="auto"/>
          <w:kern w:val="21"/>
          <w:sz w:val="32"/>
        </w:rPr>
      </w:pPr>
      <w:r>
        <w:rPr>
          <w:rFonts w:hint="default" w:ascii="Times New Roman" w:hAnsi="Times New Roman" w:eastAsia="仿宋_GB2312" w:cs="Times New Roman"/>
          <w:snapToGrid w:val="0"/>
          <w:color w:val="auto"/>
          <w:kern w:val="21"/>
          <w:sz w:val="32"/>
        </w:rPr>
        <w:t>（3）机械化切段除杂作业、机械化整秆除杂作业（试点）</w:t>
      </w:r>
      <w:bookmarkEnd w:id="0"/>
      <w:r>
        <w:rPr>
          <w:rFonts w:hint="default" w:ascii="Times New Roman" w:hAnsi="Times New Roman" w:eastAsia="仿宋_GB2312" w:cs="Times New Roman"/>
          <w:snapToGrid w:val="0"/>
          <w:color w:val="auto"/>
          <w:kern w:val="21"/>
          <w:sz w:val="32"/>
        </w:rPr>
        <w:t>：补贴标准为10元/吨。</w:t>
      </w:r>
    </w:p>
    <w:p w14:paraId="128110DD">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4.补贴方式</w:t>
      </w:r>
    </w:p>
    <w:p w14:paraId="65E1BCC1">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先作业后补贴，直补到卡（账）。</w:t>
      </w:r>
    </w:p>
    <w:p w14:paraId="0C4266A3">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5.实施步骤</w:t>
      </w:r>
    </w:p>
    <w:p w14:paraId="17F8609C">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color w:val="auto"/>
          <w:kern w:val="21"/>
          <w:sz w:val="32"/>
        </w:rPr>
      </w:pPr>
      <w:r>
        <w:rPr>
          <w:rFonts w:hint="default" w:ascii="Times New Roman" w:hAnsi="Times New Roman" w:eastAsia="仿宋_GB2312" w:cs="Times New Roman"/>
          <w:snapToGrid w:val="0"/>
          <w:color w:val="auto"/>
          <w:kern w:val="21"/>
          <w:sz w:val="32"/>
        </w:rPr>
        <w:t>（1）</w:t>
      </w:r>
      <w:bookmarkStart w:id="4" w:name="_Hlk210916617"/>
      <w:bookmarkStart w:id="5" w:name="_Hlk210916709"/>
      <w:r>
        <w:rPr>
          <w:rFonts w:hint="default" w:ascii="Times New Roman" w:hAnsi="Times New Roman" w:eastAsia="仿宋_GB2312" w:cs="Times New Roman"/>
          <w:snapToGrid w:val="0"/>
          <w:color w:val="auto"/>
          <w:kern w:val="21"/>
          <w:sz w:val="32"/>
        </w:rPr>
        <w:t>联合机种</w:t>
      </w:r>
      <w:bookmarkEnd w:id="4"/>
      <w:r>
        <w:rPr>
          <w:rFonts w:hint="default" w:ascii="Times New Roman" w:hAnsi="Times New Roman" w:eastAsia="仿宋_GB2312" w:cs="Times New Roman"/>
          <w:snapToGrid w:val="0"/>
          <w:color w:val="auto"/>
          <w:kern w:val="21"/>
          <w:sz w:val="32"/>
        </w:rPr>
        <w:t>、联合机收、割铺、割堆</w:t>
      </w:r>
      <w:bookmarkEnd w:id="5"/>
      <w:r>
        <w:rPr>
          <w:rFonts w:hint="default" w:ascii="Times New Roman" w:hAnsi="Times New Roman" w:eastAsia="仿宋_GB2312" w:cs="Times New Roman"/>
          <w:snapToGrid w:val="0"/>
          <w:color w:val="auto"/>
          <w:kern w:val="21"/>
          <w:sz w:val="32"/>
        </w:rPr>
        <w:t>作业</w:t>
      </w:r>
      <w:bookmarkStart w:id="6" w:name="_Hlk217156867"/>
      <w:r>
        <w:rPr>
          <w:rFonts w:hint="default" w:ascii="Times New Roman" w:hAnsi="Times New Roman" w:eastAsia="仿宋_GB2312" w:cs="Times New Roman"/>
          <w:snapToGrid w:val="0"/>
          <w:color w:val="auto"/>
          <w:kern w:val="21"/>
          <w:sz w:val="32"/>
        </w:rPr>
        <w:t>采用信息化远程作业监测终端采集作业数据</w:t>
      </w:r>
      <w:bookmarkEnd w:id="6"/>
      <w:r>
        <w:rPr>
          <w:rFonts w:hint="default" w:ascii="Times New Roman" w:hAnsi="Times New Roman" w:eastAsia="仿宋_GB2312" w:cs="Times New Roman"/>
          <w:snapToGrid w:val="0"/>
          <w:color w:val="auto"/>
          <w:kern w:val="21"/>
          <w:sz w:val="32"/>
        </w:rPr>
        <w:t>。作业前，由作业主体为作业机具安装符合要求的远程作业监测终端，并在作业地点所在县（市、区）农机中心（农业农村局）对作业机具和作业监测终端进行备案；作业期间，由作业主体将作业数据同步上传到广西农机信息化管理平台糖料蔗作业补贴子系统（以下简称“管理平台”）；作业完成后，由种植主体和作业主体通过管理平台向作业地点所在地乡镇（街道）提出补贴申请；乡镇（街道）负责组织人员对管理平台的作业数据进行审核并公示，公示无异议的，汇总后报县（市、区）农机中心（农业农村局）；由县（市、区）农机中心（农业农村局）对补贴面积和补贴资金对应关系进行审核，并汇总报县级财政部门核拨资金；由县级财政部门或县（市、区）农机中心（农业农村局）按照国库集中支付相关规定将补贴款及时拨付给补贴对象，符合广西惠民惠农补贴资金“一卡通”系统发放条件的补贴资金要通过广西惠民惠农补贴资金“一卡通”系统拨付给补贴对象。</w:t>
      </w:r>
    </w:p>
    <w:p w14:paraId="21344170">
      <w:pPr>
        <w:keepNext w:val="0"/>
        <w:keepLines w:val="0"/>
        <w:pageBreakBefore w:val="0"/>
        <w:kinsoku/>
        <w:wordWrap/>
        <w:bidi w:val="0"/>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机械化除杂作业补贴。在作业前由作业主体为作业机具安装作业监测终端，并在作业地点所在乡镇（街道）对作业机具和作业监测终端进行备案。作业结束后，由作业主体通过管理平台向作业地点所在乡镇（街道）提交补贴申请；乡镇（街道）负责组织人员对补贴申报进行审核并公示，公示无异议的，汇总后报县（市、区）农机中心（农业农村局）；由县（市、区）农机中心（农业农村局）复核后，汇总报县级财政部门核拨资金；由县级财政部门或县（市、区）农机中心（农业农村局）按国库集中支付相关规定，及时将补贴资金拨付至补贴对象。符合广西惠民惠农补贴资金“一卡通”系统发放条件的补贴资金要通过广西惠民惠农补贴资金“一卡通”系统拨付给补贴对象。</w:t>
      </w:r>
    </w:p>
    <w:p w14:paraId="4D761D56">
      <w:pPr>
        <w:keepNext w:val="0"/>
        <w:keepLines w:val="0"/>
        <w:pageBreakBefore w:val="0"/>
        <w:kinsoku/>
        <w:wordWrap/>
        <w:bidi w:val="0"/>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（3）机械化整秆除杂作业试点。</w:t>
      </w:r>
      <w:bookmarkStart w:id="7" w:name="_Hlk219731750"/>
      <w:r>
        <w:rPr>
          <w:rFonts w:hint="default" w:ascii="Times New Roman" w:hAnsi="Times New Roman" w:eastAsia="仿宋_GB2312" w:cs="Times New Roman"/>
          <w:snapToGrid w:val="0"/>
          <w:color w:val="auto"/>
          <w:kern w:val="21"/>
          <w:sz w:val="32"/>
        </w:rPr>
        <w:t>对有意愿开展机械化整秆除杂作业试点的县，由县（市、区）农机中心（农业农村局）制定包含机具备案、整秆式除杂作业量核验、补贴流程等内容的实施方案，经县级人民政府同意，向所在市农机中心（农业农村局）提出试点申请</w:t>
      </w:r>
      <w:r>
        <w:rPr>
          <w:rFonts w:hint="default" w:ascii="Times New Roman" w:hAnsi="Times New Roman" w:eastAsia="仿宋_GB2312" w:cs="Times New Roman"/>
          <w:snapToGrid w:val="0"/>
          <w:color w:val="auto"/>
          <w:kern w:val="21"/>
          <w:sz w:val="32"/>
          <w:lang w:eastAsia="zh-CN"/>
        </w:rPr>
        <w:t>，经</w:t>
      </w:r>
      <w:r>
        <w:rPr>
          <w:rFonts w:hint="default" w:ascii="Times New Roman" w:hAnsi="Times New Roman" w:eastAsia="仿宋_GB2312" w:cs="Times New Roman"/>
          <w:snapToGrid w:val="0"/>
          <w:color w:val="auto"/>
          <w:kern w:val="21"/>
          <w:sz w:val="32"/>
        </w:rPr>
        <w:t>市农机中心（农业农村局）批复后可开展试点。试点实施方案报自治区农机中心备案</w:t>
      </w:r>
      <w:bookmarkEnd w:id="7"/>
      <w:r>
        <w:rPr>
          <w:rFonts w:hint="default" w:ascii="Times New Roman" w:hAnsi="Times New Roman" w:eastAsia="仿宋_GB2312" w:cs="Times New Roman"/>
          <w:snapToGrid w:val="0"/>
          <w:color w:val="auto"/>
          <w:kern w:val="21"/>
          <w:sz w:val="32"/>
        </w:rPr>
        <w:t>。</w:t>
      </w:r>
    </w:p>
    <w:p w14:paraId="0063C8F4">
      <w:pPr>
        <w:keepNext w:val="0"/>
        <w:keepLines w:val="0"/>
        <w:pageBreakBefore w:val="0"/>
        <w:kinsoku/>
        <w:wordWrap/>
        <w:bidi w:val="0"/>
        <w:adjustRightInd/>
        <w:snapToGrid/>
        <w:spacing w:beforeLines="0" w:line="594" w:lineRule="exact"/>
        <w:ind w:firstLine="640" w:firstLineChars="200"/>
        <w:rPr>
          <w:rFonts w:ascii="Times New Roman" w:hAnsi="Times New Roman" w:eastAsia="楷体_GB2312"/>
          <w:snapToGrid w:val="0"/>
          <w:color w:val="auto"/>
          <w:kern w:val="21"/>
          <w:sz w:val="32"/>
        </w:rPr>
      </w:pPr>
      <w:r>
        <w:rPr>
          <w:rFonts w:ascii="Times New Roman" w:hAnsi="Times New Roman" w:eastAsia="楷体_GB2312"/>
          <w:snapToGrid w:val="0"/>
          <w:color w:val="auto"/>
          <w:kern w:val="21"/>
          <w:sz w:val="32"/>
        </w:rPr>
        <w:t>（二）糖企联合机收奖补</w:t>
      </w:r>
    </w:p>
    <w:p w14:paraId="40E485EC">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1.奖补对象</w:t>
      </w:r>
    </w:p>
    <w:p w14:paraId="6EEC74D9">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糖企联合机收奖补对象为广西区内收购联合机收（切段式和整秆式）糖料蔗（以下简称“联合机收蔗”）的制糖企业。</w:t>
      </w:r>
    </w:p>
    <w:p w14:paraId="7066E6A4">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2.奖补范围和标准</w:t>
      </w:r>
    </w:p>
    <w:p w14:paraId="0FF5DF50">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以榨季为统计范围，依据制糖企业收购联合机收蔗的重量（扣杂后）占本企业糖料蔗入榨量的百分比，按50—95元/吨标准，每档递增15元，分四档给予一次性奖补。具体标准如下：</w:t>
      </w:r>
    </w:p>
    <w:p w14:paraId="56C1C17B">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百分比&lt;5%，奖补标准为50元/吨；</w:t>
      </w:r>
    </w:p>
    <w:p w14:paraId="39D06FA4">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5%</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百分比&lt;10%，奖补标准为65元/吨；</w:t>
      </w:r>
    </w:p>
    <w:p w14:paraId="067CCA27">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10%</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百分比&lt;15%，奖补标准为80元/吨；</w:t>
      </w:r>
    </w:p>
    <w:p w14:paraId="7183133F">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百分比</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15%，奖补标准为95元/吨。</w:t>
      </w:r>
    </w:p>
    <w:p w14:paraId="78384B44">
      <w:pPr>
        <w:keepNext w:val="0"/>
        <w:keepLines w:val="0"/>
        <w:pageBreakBefore w:val="0"/>
        <w:kinsoku/>
        <w:wordWrap/>
        <w:bidi w:val="0"/>
        <w:adjustRightInd/>
        <w:snapToGrid/>
        <w:spacing w:beforeLines="0" w:line="594" w:lineRule="exact"/>
        <w:ind w:firstLine="640" w:firstLineChars="200"/>
        <w:textAlignment w:val="baseline"/>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3.实施步骤</w:t>
      </w:r>
    </w:p>
    <w:p w14:paraId="6C27D565">
      <w:pPr>
        <w:keepNext w:val="0"/>
        <w:keepLines w:val="0"/>
        <w:pageBreakBefore w:val="0"/>
        <w:kinsoku/>
        <w:wordWrap/>
        <w:bidi w:val="0"/>
        <w:adjustRightInd/>
        <w:snapToGrid/>
        <w:spacing w:beforeLines="0" w:line="594" w:lineRule="exact"/>
        <w:ind w:firstLine="640" w:firstLineChars="200"/>
        <w:textAlignment w:val="baseline"/>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榨季结束后，由制糖企业出具该糖企收购联合机收蔗的磅单或过磅明细表（扣杂后）和该糖企所在地县级糖业主管部门提供的原料蔗总入榨量证明材料，分别作为其收购联合机收蔗的重量和糖料蔗入榨量的佐证材料，并通过管理平台向制糖企业所在县（市、区）农机中心（农业农村局）提出补贴申请；由县（市、区）农机中心（农业农村局）负责组织人员对补贴申报进行审核并公示</w:t>
      </w:r>
      <w:r>
        <w:rPr>
          <w:rFonts w:hint="default" w:ascii="Times New Roman" w:hAnsi="Times New Roman" w:eastAsia="仿宋_GB2312" w:cs="Times New Roman"/>
          <w:snapToGrid w:val="0"/>
          <w:color w:val="auto"/>
          <w:kern w:val="21"/>
          <w:sz w:val="32"/>
          <w:lang w:eastAsia="zh-CN"/>
        </w:rPr>
        <w:t>；经</w:t>
      </w:r>
      <w:r>
        <w:rPr>
          <w:rFonts w:hint="default" w:ascii="Times New Roman" w:hAnsi="Times New Roman" w:eastAsia="仿宋_GB2312" w:cs="Times New Roman"/>
          <w:snapToGrid w:val="0"/>
          <w:color w:val="auto"/>
          <w:kern w:val="21"/>
          <w:sz w:val="32"/>
        </w:rPr>
        <w:t>公示无异议的，由县（市、区）农机中心（农业农村局）汇总报县财政部门核拨资金；由县级财政部门或县（市、区）农机中心（农业农村局）按照国库集中支付相关规定将补贴款及时拨付给制糖企业。</w:t>
      </w:r>
    </w:p>
    <w:p w14:paraId="6BD4ECE7">
      <w:pPr>
        <w:keepNext w:val="0"/>
        <w:keepLines w:val="0"/>
        <w:pageBreakBefore w:val="0"/>
        <w:kinsoku/>
        <w:wordWrap/>
        <w:bidi w:val="0"/>
        <w:adjustRightInd/>
        <w:snapToGrid/>
        <w:spacing w:beforeLines="0" w:line="594" w:lineRule="exact"/>
        <w:ind w:firstLine="640" w:firstLineChars="200"/>
        <w:rPr>
          <w:rFonts w:ascii="Times New Roman" w:hAnsi="Times New Roman" w:eastAsia="楷体_GB2312"/>
          <w:snapToGrid w:val="0"/>
          <w:color w:val="auto"/>
          <w:kern w:val="21"/>
          <w:sz w:val="32"/>
        </w:rPr>
      </w:pPr>
      <w:r>
        <w:rPr>
          <w:rFonts w:ascii="Times New Roman" w:hAnsi="Times New Roman" w:eastAsia="楷体_GB2312"/>
          <w:snapToGrid w:val="0"/>
          <w:color w:val="auto"/>
          <w:kern w:val="21"/>
          <w:sz w:val="32"/>
        </w:rPr>
        <w:t>（三）甘蔗机械化生产整建制推进试点县部分环节补贴标准</w:t>
      </w:r>
    </w:p>
    <w:p w14:paraId="0D1D126C">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1.甘蔗机械化生产整建制推进试点县在完成榨季机械化收获目标任务后，机械化收获、机械化除杂作业补贴和糖企奖补在原来基础上提高20%，具体补贴标准如下。</w:t>
      </w:r>
    </w:p>
    <w:p w14:paraId="4F0E1BC3">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（1）糖料蔗种植主体机收补贴。</w:t>
      </w:r>
    </w:p>
    <w:p w14:paraId="747F6E79">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联合机收补贴：</w:t>
      </w:r>
    </w:p>
    <w:p w14:paraId="3BBAE960">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lang w:val="en"/>
        </w:rPr>
      </w:pPr>
      <w:r>
        <w:rPr>
          <w:rFonts w:hint="default" w:ascii="Times New Roman" w:hAnsi="Times New Roman" w:eastAsia="仿宋_GB2312" w:cs="Times New Roman"/>
          <w:snapToGrid w:val="0"/>
          <w:color w:val="auto"/>
          <w:kern w:val="21"/>
          <w:sz w:val="32"/>
        </w:rPr>
        <w:t>对采用联合机收作业的种植主体补贴216元/亩</w:t>
      </w:r>
      <w:r>
        <w:rPr>
          <w:rFonts w:hint="default" w:ascii="Times New Roman" w:hAnsi="Times New Roman" w:eastAsia="仿宋_GB2312" w:cs="Times New Roman"/>
          <w:snapToGrid w:val="0"/>
          <w:color w:val="auto"/>
          <w:kern w:val="21"/>
          <w:sz w:val="32"/>
          <w:lang w:val="en"/>
        </w:rPr>
        <w:t>；</w:t>
      </w:r>
    </w:p>
    <w:p w14:paraId="04360A88">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割铺、割堆机收补贴：</w:t>
      </w:r>
    </w:p>
    <w:p w14:paraId="5A590C7C">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对采用割铺、割堆机收作业的种植主体补贴90</w:t>
      </w:r>
      <w:r>
        <w:rPr>
          <w:rFonts w:hint="default" w:ascii="Times New Roman" w:hAnsi="Times New Roman" w:eastAsia="仿宋_GB2312" w:cs="Times New Roman"/>
          <w:snapToGrid w:val="0"/>
          <w:color w:val="auto"/>
          <w:kern w:val="21"/>
          <w:sz w:val="32"/>
          <w:lang w:val="en"/>
        </w:rPr>
        <w:t>元/亩。</w:t>
      </w:r>
    </w:p>
    <w:p w14:paraId="21C3909F">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（2）机械化收获作业主体机收作业补贴。</w:t>
      </w:r>
    </w:p>
    <w:p w14:paraId="25C2C818">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联合机收作业：</w:t>
      </w:r>
    </w:p>
    <w:p w14:paraId="0964E841">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单机单榨季全区总作业面积&lt;350亩，补贴标准为240元/亩；350亩</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单机单榨季全区总作业面积&lt;700亩，补贴标准为300元/亩；单机单榨季全区总作业面积</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700亩，补贴标准为360元/亩。</w:t>
      </w:r>
    </w:p>
    <w:p w14:paraId="5F3A752D">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割铺、割堆机收作业：</w:t>
      </w:r>
    </w:p>
    <w:p w14:paraId="5A213656">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单机单榨季全区总作业面积&lt;300亩，补贴标准为96元/亩；300亩</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单机单榨季全区总作业面积&lt;600亩，补贴标准为144元/亩；单机单榨季全区总作业面积</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600亩，补贴标准为192元/亩。</w:t>
      </w:r>
    </w:p>
    <w:p w14:paraId="6102B27D">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（3）机械化除杂作业。补贴标准为12元/吨。</w:t>
      </w:r>
    </w:p>
    <w:p w14:paraId="19E078DA">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 xml:space="preserve">（4）糖企联合机收奖补： </w:t>
      </w:r>
    </w:p>
    <w:p w14:paraId="61AB3B62">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2%</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百分比&lt;5%，奖补标准为60元/吨；</w:t>
      </w:r>
    </w:p>
    <w:p w14:paraId="0952F5E4">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5%</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百分比&lt;10%，奖补标准为78元/吨；</w:t>
      </w:r>
    </w:p>
    <w:p w14:paraId="7362DB89">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10%</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百分比&lt;15%，奖补标准为96元/吨；</w:t>
      </w:r>
    </w:p>
    <w:p w14:paraId="4D9B8101">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百分比</w:t>
      </w:r>
      <w:r>
        <w:rPr>
          <w:rFonts w:hint="eastAsia" w:ascii="仿宋_GB2312" w:hAnsi="仿宋_GB2312" w:eastAsia="仿宋_GB2312" w:cs="仿宋_GB2312"/>
          <w:snapToGrid w:val="0"/>
          <w:color w:val="auto"/>
          <w:kern w:val="21"/>
          <w:sz w:val="32"/>
        </w:rPr>
        <w:t>≥</w:t>
      </w:r>
      <w:r>
        <w:rPr>
          <w:rFonts w:hint="default" w:ascii="Times New Roman" w:hAnsi="Times New Roman" w:eastAsia="仿宋_GB2312" w:cs="Times New Roman"/>
          <w:snapToGrid w:val="0"/>
          <w:color w:val="auto"/>
          <w:kern w:val="21"/>
          <w:sz w:val="32"/>
        </w:rPr>
        <w:t>15%，奖补标准为114元/吨。</w:t>
      </w:r>
    </w:p>
    <w:p w14:paraId="24BDE0C7">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color w:val="auto"/>
          <w:kern w:val="21"/>
          <w:sz w:val="32"/>
        </w:rPr>
      </w:pPr>
      <w:r>
        <w:rPr>
          <w:rFonts w:hint="default" w:ascii="Times New Roman" w:hAnsi="Times New Roman" w:eastAsia="仿宋_GB2312" w:cs="Times New Roman"/>
          <w:snapToGrid w:val="0"/>
          <w:color w:val="auto"/>
          <w:kern w:val="21"/>
          <w:sz w:val="32"/>
        </w:rPr>
        <w:t>2.对收购试点县内联合机收蔗的糖企，按收购量同等享受试点县糖企奖补政策。</w:t>
      </w:r>
    </w:p>
    <w:p w14:paraId="42096C98">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3.实施步骤。</w:t>
      </w:r>
    </w:p>
    <w:p w14:paraId="5AB08DB5">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整建制推进试点县在完成榨季机械化收获目标任务后，县（市、区）农机中心（农业农村局）向市农机中心（农业农村局）提交经县级人民政府同意的完成情况报告，市农机中心（农业农村局）核验确认后，报自治区农机中心备案，机械化收获、机械化除杂作业补贴和糖企奖补可在原来基础上提高20%。具体</w:t>
      </w:r>
      <w:r>
        <w:rPr>
          <w:rFonts w:hint="default" w:ascii="Times New Roman" w:hAnsi="Times New Roman" w:eastAsia="仿宋_GB2312" w:cs="Times New Roman"/>
          <w:snapToGrid w:val="0"/>
          <w:color w:val="auto"/>
          <w:kern w:val="21"/>
          <w:sz w:val="32"/>
          <w:lang w:val="en"/>
        </w:rPr>
        <w:t>补贴实施参照</w:t>
      </w:r>
      <w:r>
        <w:rPr>
          <w:rFonts w:hint="default" w:ascii="Times New Roman" w:hAnsi="Times New Roman" w:eastAsia="仿宋_GB2312" w:cs="Times New Roman"/>
          <w:snapToGrid w:val="0"/>
          <w:color w:val="auto"/>
          <w:kern w:val="21"/>
          <w:sz w:val="32"/>
        </w:rPr>
        <w:t>非整建制试点县实施步骤</w:t>
      </w:r>
      <w:r>
        <w:rPr>
          <w:rFonts w:hint="default" w:ascii="Times New Roman" w:hAnsi="Times New Roman" w:eastAsia="仿宋_GB2312" w:cs="Times New Roman"/>
          <w:snapToGrid w:val="0"/>
          <w:color w:val="auto"/>
          <w:kern w:val="21"/>
          <w:sz w:val="32"/>
          <w:lang w:val="en"/>
        </w:rPr>
        <w:t>进行</w:t>
      </w:r>
      <w:r>
        <w:rPr>
          <w:rFonts w:hint="default" w:ascii="Times New Roman" w:hAnsi="Times New Roman" w:eastAsia="仿宋_GB2312" w:cs="Times New Roman"/>
          <w:snapToGrid w:val="0"/>
          <w:color w:val="auto"/>
          <w:kern w:val="21"/>
          <w:sz w:val="32"/>
        </w:rPr>
        <w:t>。</w:t>
      </w:r>
    </w:p>
    <w:p w14:paraId="41556266">
      <w:pPr>
        <w:keepNext w:val="0"/>
        <w:keepLines w:val="0"/>
        <w:pageBreakBefore w:val="0"/>
        <w:kinsoku/>
        <w:wordWrap/>
        <w:bidi w:val="0"/>
        <w:adjustRightInd/>
        <w:snapToGrid/>
        <w:spacing w:beforeLines="0" w:line="594" w:lineRule="exact"/>
        <w:ind w:firstLine="640" w:firstLineChars="200"/>
        <w:rPr>
          <w:rFonts w:ascii="Times New Roman" w:hAnsi="Times New Roman" w:eastAsia="楷体_GB2312"/>
          <w:snapToGrid w:val="0"/>
          <w:color w:val="auto"/>
          <w:kern w:val="21"/>
          <w:sz w:val="32"/>
        </w:rPr>
      </w:pPr>
      <w:r>
        <w:rPr>
          <w:rFonts w:ascii="Times New Roman" w:hAnsi="Times New Roman" w:eastAsia="楷体_GB2312"/>
          <w:snapToGrid w:val="0"/>
          <w:color w:val="auto"/>
          <w:kern w:val="21"/>
          <w:sz w:val="32"/>
        </w:rPr>
        <w:t>（四）实施细则</w:t>
      </w:r>
    </w:p>
    <w:p w14:paraId="380D3B75">
      <w:pPr>
        <w:keepNext w:val="0"/>
        <w:keepLines w:val="0"/>
        <w:pageBreakBefore w:val="0"/>
        <w:kinsoku/>
        <w:wordWrap/>
        <w:bidi w:val="0"/>
        <w:adjustRightInd/>
        <w:snapToGrid/>
        <w:spacing w:beforeLines="0" w:line="594" w:lineRule="exact"/>
        <w:ind w:firstLine="640" w:firstLineChars="200"/>
        <w:rPr>
          <w:rFonts w:hint="default" w:ascii="Times New Roman" w:hAnsi="Times New Roman" w:eastAsia="仿宋_GB2312" w:cs="Times New Roman"/>
          <w:color w:val="auto"/>
          <w:kern w:val="21"/>
          <w:sz w:val="32"/>
        </w:rPr>
      </w:pPr>
      <w:r>
        <w:rPr>
          <w:rFonts w:hint="default" w:ascii="Times New Roman" w:hAnsi="Times New Roman" w:eastAsia="仿宋_GB2312" w:cs="Times New Roman"/>
          <w:snapToGrid w:val="0"/>
          <w:color w:val="auto"/>
          <w:kern w:val="21"/>
          <w:sz w:val="32"/>
        </w:rPr>
        <w:t>糖料蔗生产机械化作业补贴及糖企联合机收奖补实施细则由自治区农机中心另行制定。</w:t>
      </w:r>
    </w:p>
    <w:p w14:paraId="32F8BCF8">
      <w:pPr>
        <w:keepNext w:val="0"/>
        <w:keepLines w:val="0"/>
        <w:pageBreakBefore w:val="0"/>
        <w:kinsoku/>
        <w:wordWrap/>
        <w:bidi w:val="0"/>
        <w:adjustRightInd/>
        <w:snapToGrid/>
        <w:spacing w:beforeLines="0" w:line="594" w:lineRule="exact"/>
        <w:ind w:firstLine="640" w:firstLineChars="200"/>
        <w:rPr>
          <w:rFonts w:ascii="Times New Roman" w:hAnsi="Times New Roman" w:eastAsia="黑体"/>
          <w:snapToGrid w:val="0"/>
          <w:color w:val="auto"/>
          <w:kern w:val="21"/>
          <w:sz w:val="32"/>
        </w:rPr>
      </w:pPr>
      <w:r>
        <w:rPr>
          <w:rFonts w:ascii="Times New Roman" w:hAnsi="Times New Roman" w:eastAsia="黑体"/>
          <w:snapToGrid w:val="0"/>
          <w:color w:val="auto"/>
          <w:kern w:val="21"/>
          <w:sz w:val="32"/>
        </w:rPr>
        <w:t>二、实施时间</w:t>
      </w:r>
    </w:p>
    <w:p w14:paraId="2071C3B9">
      <w:pPr>
        <w:keepNext w:val="0"/>
        <w:keepLines w:val="0"/>
        <w:pageBreakBefore w:val="0"/>
        <w:kinsoku/>
        <w:wordWrap/>
        <w:autoSpaceDE/>
        <w:autoSpaceDN/>
        <w:bidi w:val="0"/>
        <w:adjustRightInd/>
        <w:spacing w:beforeLines="0" w:line="594" w:lineRule="exact"/>
        <w:ind w:firstLine="640" w:firstLineChars="200"/>
        <w:textAlignment w:val="baseline"/>
        <w:rPr>
          <w:rFonts w:hint="default" w:ascii="Times New Roman" w:hAnsi="Times New Roman" w:eastAsia="仿宋_GB2312" w:cs="Times New Roman"/>
          <w:snapToGrid w:val="0"/>
          <w:color w:val="auto"/>
          <w:kern w:val="21"/>
          <w:sz w:val="32"/>
        </w:rPr>
      </w:pPr>
      <w:r>
        <w:rPr>
          <w:rFonts w:hint="default" w:ascii="Times New Roman" w:hAnsi="Times New Roman" w:eastAsia="仿宋_GB2312" w:cs="Times New Roman"/>
          <w:snapToGrid w:val="0"/>
          <w:color w:val="auto"/>
          <w:kern w:val="21"/>
          <w:sz w:val="32"/>
        </w:rPr>
        <w:t>联合机种作业补贴实施时间自2027年1月1日开始至2028年12月31日；机械化收获、机械化除杂补贴和糖企联合机收奖补实施时间为2026/2027年及2027/2028年榨季。</w:t>
      </w:r>
    </w:p>
    <w:p w14:paraId="4D941970">
      <w:pPr>
        <w:keepNext w:val="0"/>
        <w:keepLines w:val="0"/>
        <w:pageBreakBefore w:val="0"/>
        <w:kinsoku/>
        <w:wordWrap/>
        <w:bidi w:val="0"/>
        <w:adjustRightInd/>
        <w:snapToGrid/>
        <w:spacing w:beforeLines="0" w:line="594" w:lineRule="exact"/>
        <w:ind w:firstLine="640" w:firstLineChars="200"/>
        <w:rPr>
          <w:rFonts w:hint="eastAsia" w:ascii="Times New Roman" w:hAnsi="Times New Roman" w:eastAsia="黑体"/>
          <w:snapToGrid w:val="0"/>
          <w:color w:val="auto"/>
          <w:kern w:val="21"/>
          <w:sz w:val="32"/>
        </w:rPr>
      </w:pPr>
      <w:r>
        <w:rPr>
          <w:rFonts w:ascii="Times New Roman" w:hAnsi="Times New Roman" w:eastAsia="黑体"/>
          <w:color w:val="auto"/>
          <w:kern w:val="21"/>
          <w:sz w:val="32"/>
        </w:rPr>
        <w:t>三、</w:t>
      </w:r>
      <w:r>
        <w:rPr>
          <w:rFonts w:ascii="Times New Roman" w:hAnsi="Times New Roman" w:eastAsia="黑体"/>
          <w:snapToGrid w:val="0"/>
          <w:color w:val="auto"/>
          <w:kern w:val="21"/>
          <w:sz w:val="32"/>
        </w:rPr>
        <w:t>强化要素保障</w:t>
      </w:r>
    </w:p>
    <w:p w14:paraId="13104BB9">
      <w:pPr>
        <w:keepNext w:val="0"/>
        <w:keepLines w:val="0"/>
        <w:pageBreakBefore w:val="0"/>
        <w:kinsoku/>
        <w:wordWrap/>
        <w:autoSpaceDE/>
        <w:autoSpaceDN/>
        <w:bidi w:val="0"/>
        <w:adjustRightInd/>
        <w:spacing w:beforeLines="0" w:line="594" w:lineRule="exact"/>
        <w:ind w:firstLine="640" w:firstLineChars="200"/>
        <w:textAlignment w:val="baseline"/>
        <w:rPr>
          <w:rFonts w:ascii="Times New Roman" w:hAnsi="Times New Roman" w:eastAsia="仿宋_GB2312"/>
          <w:snapToGrid w:val="0"/>
          <w:color w:val="auto"/>
          <w:kern w:val="21"/>
          <w:sz w:val="32"/>
        </w:rPr>
      </w:pPr>
      <w:r>
        <w:rPr>
          <w:rFonts w:ascii="Times New Roman" w:hAnsi="Times New Roman" w:eastAsia="楷体_GB2312"/>
          <w:snapToGrid w:val="0"/>
          <w:color w:val="auto"/>
          <w:kern w:val="21"/>
          <w:sz w:val="32"/>
        </w:rPr>
        <w:t>（一）加强资金保障。</w:t>
      </w:r>
      <w:r>
        <w:rPr>
          <w:rFonts w:ascii="Times New Roman" w:hAnsi="Times New Roman" w:eastAsia="仿宋_GB2312"/>
          <w:snapToGrid w:val="0"/>
          <w:color w:val="auto"/>
          <w:kern w:val="21"/>
          <w:sz w:val="32"/>
        </w:rPr>
        <w:t>根据财权与事权相匹配原则，按照事权和支出责任划分要求，中央与自治区按照7:3的比例承担补贴资金。自治区资金由自治区本级财政和市县级财政按要求分担。补助资金采取“先预拨，后结算”方式，自治区通过统筹中央农业产业发展资金以及自治区各专项资金支持糖料蔗良法技术推广工作，做好补助资金的预拨和结算，确保资金使用效益。本年度政策实施完成后，可结合实际对下一年政策作适当优化完善，更好地发挥财政资金使用效益。（</w:t>
      </w:r>
      <w:r>
        <w:rPr>
          <w:rFonts w:ascii="Times New Roman" w:hAnsi="Times New Roman" w:eastAsia="方正楷体_GBK"/>
          <w:snapToGrid w:val="0"/>
          <w:color w:val="auto"/>
          <w:kern w:val="21"/>
          <w:sz w:val="32"/>
        </w:rPr>
        <w:t>责任单位：自治区财政厅、自治区农机中心，有关市县</w:t>
      </w:r>
      <w:r>
        <w:rPr>
          <w:rFonts w:ascii="Times New Roman" w:hAnsi="Times New Roman" w:eastAsia="仿宋_GB2312"/>
          <w:snapToGrid w:val="0"/>
          <w:color w:val="auto"/>
          <w:kern w:val="21"/>
          <w:sz w:val="32"/>
        </w:rPr>
        <w:t>）</w:t>
      </w:r>
    </w:p>
    <w:p w14:paraId="67753907">
      <w:pPr>
        <w:keepNext w:val="0"/>
        <w:keepLines w:val="0"/>
        <w:pageBreakBefore w:val="0"/>
        <w:kinsoku/>
        <w:wordWrap/>
        <w:bidi w:val="0"/>
        <w:adjustRightInd/>
        <w:snapToGrid/>
        <w:spacing w:beforeLines="0" w:line="594" w:lineRule="exact"/>
        <w:ind w:firstLine="640" w:firstLineChars="200"/>
        <w:rPr>
          <w:rFonts w:ascii="Times New Roman" w:hAnsi="Times New Roman" w:eastAsia="仿宋_GB2312"/>
          <w:snapToGrid w:val="0"/>
          <w:color w:val="auto"/>
          <w:kern w:val="21"/>
          <w:sz w:val="32"/>
        </w:rPr>
      </w:pPr>
      <w:r>
        <w:rPr>
          <w:rFonts w:ascii="Times New Roman" w:hAnsi="Times New Roman" w:eastAsia="楷体_GB2312"/>
          <w:snapToGrid w:val="0"/>
          <w:color w:val="auto"/>
          <w:kern w:val="21"/>
          <w:sz w:val="32"/>
        </w:rPr>
        <w:t>（二）落实支出责任。</w:t>
      </w:r>
      <w:r>
        <w:rPr>
          <w:rFonts w:ascii="Times New Roman" w:hAnsi="Times New Roman" w:eastAsia="仿宋_GB2312"/>
          <w:snapToGrid w:val="0"/>
          <w:color w:val="auto"/>
          <w:kern w:val="21"/>
          <w:sz w:val="32"/>
        </w:rPr>
        <w:t>自治区对糖料蔗良法技术推广补助资金实行直达资金专户管理，确保补助资金调度和库款兑付。自治区农机中心会同自治区财政厅定期调度、通报补助资金兑付情况。各县（市、区）应根据“谁使用、谁负责”的原则切实履行好本级的法定支出责任，积极筹措资金，切实加快资金支出进度，确保应支尽支，保障补贴政策落实到位。对地方支出责任履行不到位的县（市、区），自治区将给予全区通报约谈并相应扣减下一年度补助资金。（</w:t>
      </w:r>
      <w:r>
        <w:rPr>
          <w:rFonts w:ascii="Times New Roman" w:hAnsi="Times New Roman" w:eastAsia="方正楷体_GBK"/>
          <w:snapToGrid w:val="0"/>
          <w:color w:val="auto"/>
          <w:kern w:val="21"/>
          <w:sz w:val="32"/>
        </w:rPr>
        <w:t>责任单位：有关市县</w:t>
      </w:r>
      <w:r>
        <w:rPr>
          <w:rFonts w:ascii="Times New Roman" w:hAnsi="Times New Roman" w:eastAsia="仿宋_GB2312"/>
          <w:snapToGrid w:val="0"/>
          <w:color w:val="auto"/>
          <w:kern w:val="21"/>
          <w:sz w:val="32"/>
        </w:rPr>
        <w:t>）</w:t>
      </w:r>
    </w:p>
    <w:p w14:paraId="4790D229">
      <w:pPr>
        <w:keepNext w:val="0"/>
        <w:keepLines w:val="0"/>
        <w:pageBreakBefore w:val="0"/>
        <w:kinsoku/>
        <w:wordWrap/>
        <w:autoSpaceDE/>
        <w:autoSpaceDN/>
        <w:bidi w:val="0"/>
        <w:adjustRightInd/>
        <w:spacing w:beforeLines="0" w:line="594" w:lineRule="exact"/>
        <w:ind w:firstLine="640" w:firstLineChars="200"/>
        <w:textAlignment w:val="baseline"/>
        <w:rPr>
          <w:rFonts w:ascii="Times New Roman" w:hAnsi="Times New Roman" w:eastAsia="仿宋_GB2312"/>
          <w:snapToGrid w:val="0"/>
          <w:color w:val="auto"/>
          <w:kern w:val="21"/>
          <w:sz w:val="32"/>
        </w:rPr>
      </w:pPr>
      <w:r>
        <w:rPr>
          <w:rFonts w:ascii="Times New Roman" w:hAnsi="Times New Roman" w:eastAsia="楷体_GB2312"/>
          <w:snapToGrid w:val="0"/>
          <w:color w:val="auto"/>
          <w:kern w:val="21"/>
          <w:sz w:val="32"/>
        </w:rPr>
        <w:t>（三）做好监督抽查。</w:t>
      </w:r>
      <w:r>
        <w:rPr>
          <w:rFonts w:ascii="Times New Roman" w:hAnsi="Times New Roman" w:eastAsia="仿宋_GB2312"/>
          <w:snapToGrid w:val="0"/>
          <w:color w:val="auto"/>
          <w:kern w:val="21"/>
          <w:sz w:val="32"/>
        </w:rPr>
        <w:t>糖料蔗良法技术推广补助项目抽查工作由各相关市农机中心（农业农村局）负责，制定具体抽查工作方案</w:t>
      </w:r>
      <w:r>
        <w:rPr>
          <w:rFonts w:hint="eastAsia" w:ascii="Times New Roman" w:hAnsi="Times New Roman" w:eastAsia="仿宋_GB2312"/>
          <w:snapToGrid w:val="0"/>
          <w:color w:val="auto"/>
          <w:kern w:val="21"/>
          <w:sz w:val="32"/>
          <w:lang w:eastAsia="zh-CN"/>
        </w:rPr>
        <w:t>，在</w:t>
      </w:r>
      <w:r>
        <w:rPr>
          <w:rFonts w:ascii="Times New Roman" w:hAnsi="Times New Roman" w:eastAsia="仿宋_GB2312"/>
          <w:snapToGrid w:val="0"/>
          <w:color w:val="auto"/>
          <w:kern w:val="21"/>
          <w:sz w:val="32"/>
        </w:rPr>
        <w:t>实施时间内开展不少于2次覆盖所有县（市、区）、所有补贴环节的抽查工作，保障补贴资金精准、安全使用。（</w:t>
      </w:r>
      <w:r>
        <w:rPr>
          <w:rFonts w:ascii="Times New Roman" w:hAnsi="Times New Roman" w:eastAsia="方正楷体_GBK"/>
          <w:snapToGrid w:val="0"/>
          <w:color w:val="auto"/>
          <w:kern w:val="21"/>
          <w:sz w:val="32"/>
        </w:rPr>
        <w:t>责任单位：自治区农机中心，有关市县</w:t>
      </w:r>
      <w:r>
        <w:rPr>
          <w:rFonts w:ascii="Times New Roman" w:hAnsi="Times New Roman" w:eastAsia="仿宋_GB2312"/>
          <w:snapToGrid w:val="0"/>
          <w:color w:val="auto"/>
          <w:kern w:val="21"/>
          <w:sz w:val="32"/>
        </w:rPr>
        <w:t>）</w:t>
      </w:r>
    </w:p>
    <w:p w14:paraId="52147B38">
      <w:pPr>
        <w:keepNext w:val="0"/>
        <w:keepLines w:val="0"/>
        <w:pageBreakBefore w:val="0"/>
        <w:kinsoku/>
        <w:wordWrap/>
        <w:autoSpaceDE/>
        <w:autoSpaceDN/>
        <w:bidi w:val="0"/>
        <w:adjustRightInd/>
        <w:spacing w:beforeLines="0" w:line="594" w:lineRule="exact"/>
        <w:ind w:firstLine="640" w:firstLineChars="200"/>
        <w:textAlignment w:val="baseline"/>
        <w:rPr>
          <w:rFonts w:ascii="Times New Roman" w:hAnsi="Times New Roman" w:eastAsia="黑体"/>
          <w:snapToGrid w:val="0"/>
          <w:color w:val="auto"/>
          <w:kern w:val="21"/>
          <w:sz w:val="32"/>
        </w:rPr>
      </w:pPr>
      <w:r>
        <w:rPr>
          <w:rFonts w:ascii="Times New Roman" w:hAnsi="Times New Roman" w:eastAsia="黑体"/>
          <w:snapToGrid w:val="0"/>
          <w:color w:val="auto"/>
          <w:kern w:val="21"/>
          <w:sz w:val="32"/>
        </w:rPr>
        <w:t>四、加强统筹落实</w:t>
      </w:r>
    </w:p>
    <w:p w14:paraId="7A9680BC">
      <w:pPr>
        <w:keepNext w:val="0"/>
        <w:keepLines w:val="0"/>
        <w:pageBreakBefore w:val="0"/>
        <w:kinsoku/>
        <w:wordWrap/>
        <w:bidi w:val="0"/>
        <w:adjustRightInd/>
        <w:snapToGrid/>
        <w:spacing w:beforeLines="0" w:line="594" w:lineRule="exact"/>
        <w:ind w:firstLine="640" w:firstLineChars="200"/>
        <w:rPr>
          <w:rFonts w:ascii="Times New Roman" w:hAnsi="Times New Roman" w:eastAsia="仿宋_GB2312"/>
          <w:snapToGrid w:val="0"/>
          <w:color w:val="auto"/>
          <w:kern w:val="21"/>
          <w:sz w:val="32"/>
        </w:rPr>
      </w:pPr>
      <w:r>
        <w:rPr>
          <w:rFonts w:ascii="Times New Roman" w:hAnsi="Times New Roman" w:eastAsia="仿宋_GB2312"/>
          <w:snapToGrid w:val="0"/>
          <w:color w:val="auto"/>
          <w:kern w:val="21"/>
          <w:sz w:val="32"/>
        </w:rPr>
        <w:t>自治区农机中心负责具体推进糖料蔗良法技术推广工作，各有关市县是落实糖料蔗良法技术推广工作的责任主体，要提高政治站位，加强组织领导，组织有关部门抓好糖料蔗良法技术推广工作落实，及时总结经验做法，为持续推进政策实施提供有力支撑。要加大种植主体权益保障力度，规范制糖企业在收取机收蔗时的扣杂标准，申领糖企联合机收奖补的制糖企业在对接收的机收蔗进行扣杂时，糖料蔗种植主体所承担的扣杂率不得超过5%。</w:t>
      </w:r>
    </w:p>
    <w:p w14:paraId="28F6B95A">
      <w:pPr>
        <w:keepNext w:val="0"/>
        <w:keepLines w:val="0"/>
        <w:pageBreakBefore w:val="0"/>
        <w:kinsoku/>
        <w:wordWrap/>
        <w:bidi w:val="0"/>
        <w:adjustRightInd/>
        <w:snapToGrid/>
        <w:spacing w:beforeLines="0" w:line="594" w:lineRule="exact"/>
        <w:ind w:firstLine="640" w:firstLineChars="200"/>
        <w:rPr>
          <w:rFonts w:ascii="Times New Roman" w:hAnsi="Times New Roman" w:eastAsia="仿宋_GB2312"/>
          <w:snapToGrid w:val="0"/>
          <w:color w:val="auto"/>
          <w:kern w:val="21"/>
          <w:sz w:val="32"/>
        </w:rPr>
      </w:pPr>
    </w:p>
    <w:p w14:paraId="54187246">
      <w:pPr>
        <w:keepNext w:val="0"/>
        <w:keepLines w:val="0"/>
        <w:pageBreakBefore w:val="0"/>
        <w:kinsoku/>
        <w:wordWrap/>
        <w:bidi w:val="0"/>
        <w:adjustRightInd/>
        <w:snapToGrid/>
        <w:spacing w:beforeLines="0" w:line="594" w:lineRule="exact"/>
        <w:ind w:firstLine="640" w:firstLineChars="200"/>
        <w:rPr>
          <w:rFonts w:ascii="Times New Roman" w:hAnsi="Times New Roman" w:eastAsia="宋体"/>
          <w:color w:val="auto"/>
          <w:kern w:val="21"/>
          <w:sz w:val="32"/>
        </w:rPr>
      </w:pPr>
      <w:r>
        <w:rPr>
          <w:rFonts w:ascii="Times New Roman" w:hAnsi="Times New Roman" w:eastAsia="仿宋_GB2312"/>
          <w:snapToGrid w:val="0"/>
          <w:color w:val="auto"/>
          <w:kern w:val="21"/>
          <w:sz w:val="32"/>
        </w:rPr>
        <w:t>附件：2027—2028年糖料蔗良法技术推广任务分解表</w:t>
      </w:r>
    </w:p>
    <w:p w14:paraId="60A2795E">
      <w:pPr>
        <w:keepNext w:val="0"/>
        <w:keepLines w:val="0"/>
        <w:pageBreakBefore w:val="0"/>
        <w:kinsoku/>
        <w:wordWrap/>
        <w:bidi w:val="0"/>
        <w:adjustRightInd/>
        <w:snapToGrid/>
        <w:spacing w:beforeLines="0" w:line="594" w:lineRule="exact"/>
        <w:rPr>
          <w:rFonts w:eastAsia="仿宋_GB2312"/>
          <w:color w:val="auto"/>
          <w:kern w:val="21"/>
          <w:sz w:val="32"/>
        </w:rPr>
      </w:pPr>
      <w:r>
        <w:rPr>
          <w:rFonts w:eastAsia="黑体"/>
          <w:color w:val="auto"/>
          <w:kern w:val="21"/>
          <w:sz w:val="32"/>
        </w:rPr>
        <w:br w:type="page"/>
      </w:r>
      <w:r>
        <w:rPr>
          <w:rFonts w:eastAsia="黑体"/>
          <w:color w:val="auto"/>
          <w:kern w:val="21"/>
          <w:sz w:val="32"/>
        </w:rPr>
        <w:t>附件</w:t>
      </w:r>
      <w:bookmarkStart w:id="8" w:name="_Hlk211794732"/>
    </w:p>
    <w:p w14:paraId="6C83ECC0">
      <w:pPr>
        <w:keepNext w:val="0"/>
        <w:keepLines w:val="0"/>
        <w:pageBreakBefore w:val="0"/>
        <w:kinsoku/>
        <w:wordWrap/>
        <w:bidi w:val="0"/>
        <w:adjustRightInd/>
        <w:snapToGrid/>
        <w:spacing w:beforeLines="0" w:line="594" w:lineRule="exact"/>
        <w:jc w:val="center"/>
        <w:rPr>
          <w:rFonts w:hint="eastAsia" w:ascii="方正小标宋简体" w:hAnsi="方正小标宋简体" w:eastAsia="方正小标宋简体" w:cs="方正小标宋简体"/>
          <w:snapToGrid w:val="0"/>
          <w:color w:val="auto"/>
          <w:kern w:val="21"/>
          <w:sz w:val="44"/>
          <w:szCs w:val="44"/>
        </w:rPr>
      </w:pPr>
    </w:p>
    <w:p w14:paraId="3A0415ED">
      <w:pPr>
        <w:keepNext w:val="0"/>
        <w:keepLines w:val="0"/>
        <w:pageBreakBefore w:val="0"/>
        <w:kinsoku/>
        <w:wordWrap/>
        <w:bidi w:val="0"/>
        <w:adjustRightInd/>
        <w:snapToGrid/>
        <w:spacing w:beforeLines="0" w:line="594" w:lineRule="exact"/>
        <w:jc w:val="center"/>
        <w:rPr>
          <w:rFonts w:hint="eastAsia" w:ascii="方正小标宋简体" w:hAnsi="方正小标宋简体" w:eastAsia="方正小标宋简体" w:cs="方正小标宋简体"/>
          <w:snapToGrid w:val="0"/>
          <w:color w:val="auto"/>
          <w:kern w:val="21"/>
          <w:sz w:val="44"/>
          <w:szCs w:val="44"/>
        </w:rPr>
      </w:pPr>
      <w:r>
        <w:rPr>
          <w:rFonts w:hint="eastAsia" w:ascii="方正小标宋简体" w:hAnsi="方正小标宋简体" w:eastAsia="方正小标宋简体" w:cs="方正小标宋简体"/>
          <w:snapToGrid w:val="0"/>
          <w:color w:val="auto"/>
          <w:kern w:val="21"/>
          <w:sz w:val="44"/>
          <w:szCs w:val="44"/>
        </w:rPr>
        <w:t>2027</w:t>
      </w:r>
      <w:r>
        <w:rPr>
          <w:rFonts w:hint="eastAsia" w:ascii="方正小标宋简体" w:hAnsi="方正小标宋简体" w:eastAsia="方正小标宋简体" w:cs="方正小标宋简体"/>
          <w:snapToGrid w:val="0"/>
          <w:color w:val="auto"/>
          <w:kern w:val="21"/>
          <w:sz w:val="44"/>
          <w:szCs w:val="44"/>
          <w:lang w:eastAsia="zh-CN"/>
        </w:rPr>
        <w:t>—</w:t>
      </w:r>
      <w:r>
        <w:rPr>
          <w:rFonts w:hint="eastAsia" w:ascii="方正小标宋简体" w:hAnsi="方正小标宋简体" w:eastAsia="方正小标宋简体" w:cs="方正小标宋简体"/>
          <w:snapToGrid w:val="0"/>
          <w:color w:val="auto"/>
          <w:kern w:val="21"/>
          <w:sz w:val="44"/>
          <w:szCs w:val="44"/>
        </w:rPr>
        <w:t>2028年糖料蔗良法技术推广任务分解</w:t>
      </w:r>
      <w:bookmarkEnd w:id="8"/>
      <w:r>
        <w:rPr>
          <w:rFonts w:hint="eastAsia" w:ascii="方正小标宋简体" w:hAnsi="方正小标宋简体" w:eastAsia="方正小标宋简体" w:cs="方正小标宋简体"/>
          <w:snapToGrid w:val="0"/>
          <w:color w:val="auto"/>
          <w:kern w:val="21"/>
          <w:sz w:val="44"/>
          <w:szCs w:val="44"/>
        </w:rPr>
        <w:t>表</w:t>
      </w:r>
    </w:p>
    <w:p w14:paraId="28BB990A">
      <w:pPr>
        <w:keepNext w:val="0"/>
        <w:keepLines w:val="0"/>
        <w:pageBreakBefore w:val="0"/>
        <w:widowControl w:val="0"/>
        <w:kinsoku/>
        <w:wordWrap/>
        <w:bidi w:val="0"/>
        <w:spacing w:beforeLines="0" w:after="0" w:line="594" w:lineRule="exact"/>
        <w:jc w:val="center"/>
        <w:rPr>
          <w:rFonts w:hint="eastAsia" w:ascii="方正小标宋简体" w:hAnsi="方正小标宋简体" w:eastAsia="方正小标宋简体" w:cs="方正小标宋简体"/>
          <w:color w:val="auto"/>
          <w:kern w:val="21"/>
          <w:sz w:val="44"/>
          <w:szCs w:val="44"/>
          <w:lang w:val="en-US" w:eastAsia="zh-CN" w:bidi="ar-SA"/>
        </w:rPr>
      </w:pPr>
    </w:p>
    <w:tbl>
      <w:tblPr>
        <w:tblStyle w:val="3"/>
        <w:tblW w:w="9059" w:type="dxa"/>
        <w:tblInd w:w="93" w:type="dxa"/>
        <w:tblLayout w:type="autofit"/>
        <w:tblCellMar>
          <w:top w:w="0" w:type="dxa"/>
          <w:left w:w="108" w:type="dxa"/>
          <w:bottom w:w="0" w:type="dxa"/>
          <w:right w:w="108" w:type="dxa"/>
        </w:tblCellMar>
      </w:tblPr>
      <w:tblGrid>
        <w:gridCol w:w="1431"/>
        <w:gridCol w:w="1929"/>
        <w:gridCol w:w="1945"/>
        <w:gridCol w:w="1975"/>
        <w:gridCol w:w="1779"/>
      </w:tblGrid>
      <w:tr w14:paraId="089AD12A">
        <w:tblPrEx>
          <w:tblCellMar>
            <w:top w:w="0" w:type="dxa"/>
            <w:left w:w="108" w:type="dxa"/>
            <w:bottom w:w="0" w:type="dxa"/>
            <w:right w:w="108" w:type="dxa"/>
          </w:tblCellMar>
        </w:tblPrEx>
        <w:trPr>
          <w:trHeight w:val="592" w:hRule="atLeast"/>
        </w:trPr>
        <w:tc>
          <w:tcPr>
            <w:tcW w:w="143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51D9F5">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地区</w:t>
            </w:r>
          </w:p>
        </w:tc>
        <w:tc>
          <w:tcPr>
            <w:tcW w:w="7628" w:type="dxa"/>
            <w:gridSpan w:val="4"/>
            <w:tcBorders>
              <w:top w:val="single" w:color="000000" w:sz="4" w:space="0"/>
              <w:left w:val="single" w:color="000000" w:sz="4" w:space="0"/>
              <w:bottom w:val="single" w:color="000000" w:sz="4" w:space="0"/>
              <w:right w:val="single" w:color="000000" w:sz="4" w:space="0"/>
            </w:tcBorders>
            <w:noWrap w:val="0"/>
            <w:vAlign w:val="center"/>
          </w:tcPr>
          <w:p w14:paraId="5E6A3E1B">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工作任务</w:t>
            </w:r>
          </w:p>
        </w:tc>
      </w:tr>
      <w:tr w14:paraId="544DEF1A">
        <w:tblPrEx>
          <w:tblCellMar>
            <w:top w:w="0" w:type="dxa"/>
            <w:left w:w="108" w:type="dxa"/>
            <w:bottom w:w="0" w:type="dxa"/>
            <w:right w:w="108" w:type="dxa"/>
          </w:tblCellMar>
        </w:tblPrEx>
        <w:trPr>
          <w:trHeight w:val="592" w:hRule="atLeast"/>
        </w:trPr>
        <w:tc>
          <w:tcPr>
            <w:tcW w:w="14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EE49C">
            <w:pPr>
              <w:keepNext w:val="0"/>
              <w:keepLines w:val="0"/>
              <w:pageBreakBefore w:val="0"/>
              <w:widowControl/>
              <w:kinsoku/>
              <w:wordWrap/>
              <w:overflowPunct w:val="0"/>
              <w:topLinePunct/>
              <w:bidi w:val="0"/>
              <w:spacing w:line="400" w:lineRule="exact"/>
              <w:jc w:val="center"/>
              <w:rPr>
                <w:rFonts w:ascii="Times New Roman" w:hAnsi="Times New Roman" w:eastAsia="黑体"/>
                <w:bCs/>
                <w:color w:val="auto"/>
                <w:sz w:val="28"/>
                <w:szCs w:val="28"/>
              </w:rPr>
            </w:pPr>
          </w:p>
        </w:tc>
        <w:tc>
          <w:tcPr>
            <w:tcW w:w="3874" w:type="dxa"/>
            <w:gridSpan w:val="2"/>
            <w:tcBorders>
              <w:top w:val="single" w:color="000000" w:sz="4" w:space="0"/>
              <w:left w:val="single" w:color="000000" w:sz="4" w:space="0"/>
              <w:bottom w:val="single" w:color="000000" w:sz="4" w:space="0"/>
              <w:right w:val="single" w:color="000000" w:sz="4" w:space="0"/>
            </w:tcBorders>
            <w:noWrap w:val="0"/>
            <w:vAlign w:val="center"/>
          </w:tcPr>
          <w:p w14:paraId="56D4461A">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2026/2027年榨季</w:t>
            </w:r>
          </w:p>
        </w:tc>
        <w:tc>
          <w:tcPr>
            <w:tcW w:w="3754" w:type="dxa"/>
            <w:gridSpan w:val="2"/>
            <w:tcBorders>
              <w:top w:val="single" w:color="000000" w:sz="4" w:space="0"/>
              <w:left w:val="single" w:color="000000" w:sz="4" w:space="0"/>
              <w:bottom w:val="single" w:color="000000" w:sz="4" w:space="0"/>
              <w:right w:val="single" w:color="000000" w:sz="4" w:space="0"/>
            </w:tcBorders>
            <w:noWrap w:val="0"/>
            <w:vAlign w:val="center"/>
          </w:tcPr>
          <w:p w14:paraId="1A7762CB">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2027/2028年榨季</w:t>
            </w:r>
          </w:p>
        </w:tc>
      </w:tr>
      <w:tr w14:paraId="52086450">
        <w:tblPrEx>
          <w:tblCellMar>
            <w:top w:w="0" w:type="dxa"/>
            <w:left w:w="108" w:type="dxa"/>
            <w:bottom w:w="0" w:type="dxa"/>
            <w:right w:w="108" w:type="dxa"/>
          </w:tblCellMar>
        </w:tblPrEx>
        <w:trPr>
          <w:trHeight w:val="797" w:hRule="atLeast"/>
        </w:trPr>
        <w:tc>
          <w:tcPr>
            <w:tcW w:w="14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8A628">
            <w:pPr>
              <w:keepNext w:val="0"/>
              <w:keepLines w:val="0"/>
              <w:pageBreakBefore w:val="0"/>
              <w:widowControl/>
              <w:kinsoku/>
              <w:wordWrap/>
              <w:overflowPunct w:val="0"/>
              <w:topLinePunct/>
              <w:bidi w:val="0"/>
              <w:spacing w:line="400" w:lineRule="exact"/>
              <w:jc w:val="center"/>
              <w:rPr>
                <w:rFonts w:ascii="Times New Roman" w:hAnsi="Times New Roman" w:eastAsia="黑体"/>
                <w:bCs/>
                <w:color w:val="auto"/>
                <w:sz w:val="28"/>
                <w:szCs w:val="28"/>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D5FF92F">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kern w:val="0"/>
                <w:sz w:val="28"/>
                <w:szCs w:val="28"/>
                <w:lang w:bidi="ar"/>
              </w:rPr>
            </w:pPr>
            <w:r>
              <w:rPr>
                <w:rFonts w:ascii="Times New Roman" w:hAnsi="Times New Roman" w:eastAsia="黑体"/>
                <w:bCs/>
                <w:color w:val="auto"/>
                <w:kern w:val="0"/>
                <w:sz w:val="28"/>
                <w:szCs w:val="28"/>
                <w:lang w:bidi="ar"/>
              </w:rPr>
              <w:t>联合机收</w:t>
            </w:r>
          </w:p>
          <w:p w14:paraId="19BC5E6A">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（万亩）</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53EED061">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割铺、割堆机（万亩）</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76DA76A1">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kern w:val="0"/>
                <w:sz w:val="28"/>
                <w:szCs w:val="28"/>
                <w:lang w:bidi="ar"/>
              </w:rPr>
            </w:pPr>
            <w:r>
              <w:rPr>
                <w:rFonts w:ascii="Times New Roman" w:hAnsi="Times New Roman" w:eastAsia="黑体"/>
                <w:bCs/>
                <w:color w:val="auto"/>
                <w:kern w:val="0"/>
                <w:sz w:val="28"/>
                <w:szCs w:val="28"/>
                <w:lang w:bidi="ar"/>
              </w:rPr>
              <w:t>联合机收</w:t>
            </w:r>
          </w:p>
          <w:p w14:paraId="7C5C4F33">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（万亩）</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62EC6C1A">
            <w:pPr>
              <w:keepNext w:val="0"/>
              <w:keepLines w:val="0"/>
              <w:pageBreakBefore w:val="0"/>
              <w:widowControl/>
              <w:kinsoku/>
              <w:wordWrap/>
              <w:overflowPunct w:val="0"/>
              <w:topLinePunct/>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割铺、割堆机（万亩）</w:t>
            </w:r>
          </w:p>
        </w:tc>
      </w:tr>
      <w:tr w14:paraId="0DFC51CD">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79733CA9">
            <w:pPr>
              <w:keepNext w:val="0"/>
              <w:keepLines w:val="0"/>
              <w:pageBreakBefore w:val="0"/>
              <w:widowControl/>
              <w:kinsoku/>
              <w:wordWrap/>
              <w:bidi w:val="0"/>
              <w:spacing w:line="400" w:lineRule="exact"/>
              <w:jc w:val="center"/>
              <w:textAlignment w:val="center"/>
              <w:rPr>
                <w:rFonts w:ascii="Times New Roman" w:hAnsi="Times New Roman" w:eastAsia="黑体"/>
                <w:bCs/>
                <w:color w:val="auto"/>
                <w:sz w:val="28"/>
                <w:szCs w:val="28"/>
              </w:rPr>
            </w:pPr>
            <w:r>
              <w:rPr>
                <w:rFonts w:ascii="Times New Roman" w:hAnsi="Times New Roman" w:eastAsia="黑体"/>
                <w:bCs/>
                <w:color w:val="auto"/>
                <w:kern w:val="0"/>
                <w:sz w:val="28"/>
                <w:szCs w:val="28"/>
                <w:lang w:bidi="ar"/>
              </w:rPr>
              <w:t>全区合计</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BAEE970">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b/>
                <w:color w:val="auto"/>
                <w:sz w:val="28"/>
                <w:szCs w:val="28"/>
              </w:rPr>
            </w:pPr>
            <w:r>
              <w:rPr>
                <w:rFonts w:hint="default" w:ascii="Times New Roman" w:hAnsi="Times New Roman" w:eastAsia="宋体" w:cs="Times New Roman"/>
                <w:i w:val="0"/>
                <w:color w:val="auto"/>
                <w:kern w:val="0"/>
                <w:sz w:val="28"/>
                <w:szCs w:val="28"/>
                <w:u w:val="none"/>
                <w:lang w:val="en-US" w:eastAsia="zh-CN" w:bidi="ar"/>
              </w:rPr>
              <w:t>70.00</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7694D309">
            <w:pPr>
              <w:keepNext w:val="0"/>
              <w:keepLines w:val="0"/>
              <w:pageBreakBefore w:val="0"/>
              <w:widowControl/>
              <w:kinsoku/>
              <w:wordWrap/>
              <w:bidi w:val="0"/>
              <w:spacing w:line="400" w:lineRule="exact"/>
              <w:jc w:val="center"/>
              <w:textAlignment w:val="center"/>
              <w:rPr>
                <w:rFonts w:ascii="Times New Roman" w:hAnsi="Times New Roman" w:eastAsia="宋体"/>
                <w:b/>
                <w:color w:val="auto"/>
                <w:sz w:val="28"/>
                <w:szCs w:val="28"/>
              </w:rPr>
            </w:pPr>
            <w:r>
              <w:rPr>
                <w:rFonts w:ascii="Times New Roman" w:hAnsi="Times New Roman" w:eastAsia="宋体"/>
                <w:b/>
                <w:color w:val="auto"/>
                <w:kern w:val="0"/>
                <w:sz w:val="28"/>
                <w:szCs w:val="28"/>
                <w:lang w:bidi="ar"/>
              </w:rPr>
              <w:t>15</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42C81B44">
            <w:pPr>
              <w:keepNext w:val="0"/>
              <w:keepLines w:val="0"/>
              <w:pageBreakBefore w:val="0"/>
              <w:widowControl/>
              <w:kinsoku/>
              <w:wordWrap/>
              <w:bidi w:val="0"/>
              <w:spacing w:line="400" w:lineRule="exact"/>
              <w:jc w:val="center"/>
              <w:textAlignment w:val="center"/>
              <w:rPr>
                <w:rFonts w:ascii="Times New Roman" w:hAnsi="Times New Roman" w:eastAsia="宋体"/>
                <w:b/>
                <w:color w:val="auto"/>
                <w:sz w:val="28"/>
                <w:szCs w:val="28"/>
              </w:rPr>
            </w:pPr>
            <w:r>
              <w:rPr>
                <w:rFonts w:ascii="Times New Roman" w:hAnsi="Times New Roman" w:eastAsia="宋体"/>
                <w:b/>
                <w:color w:val="auto"/>
                <w:kern w:val="0"/>
                <w:sz w:val="28"/>
                <w:szCs w:val="28"/>
                <w:lang w:bidi="ar"/>
              </w:rPr>
              <w:t>123.20</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16055178">
            <w:pPr>
              <w:keepNext w:val="0"/>
              <w:keepLines w:val="0"/>
              <w:pageBreakBefore w:val="0"/>
              <w:widowControl/>
              <w:kinsoku/>
              <w:wordWrap/>
              <w:bidi w:val="0"/>
              <w:spacing w:line="400" w:lineRule="exact"/>
              <w:jc w:val="center"/>
              <w:textAlignment w:val="center"/>
              <w:rPr>
                <w:rFonts w:ascii="Times New Roman" w:hAnsi="Times New Roman" w:eastAsia="宋体"/>
                <w:b/>
                <w:color w:val="auto"/>
                <w:sz w:val="28"/>
                <w:szCs w:val="28"/>
              </w:rPr>
            </w:pPr>
            <w:r>
              <w:rPr>
                <w:rFonts w:ascii="Times New Roman" w:hAnsi="Times New Roman" w:eastAsia="宋体"/>
                <w:b/>
                <w:color w:val="auto"/>
                <w:kern w:val="0"/>
                <w:sz w:val="28"/>
                <w:szCs w:val="28"/>
                <w:lang w:bidi="ar"/>
              </w:rPr>
              <w:t>30</w:t>
            </w:r>
          </w:p>
        </w:tc>
      </w:tr>
      <w:tr w14:paraId="187095D3">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2F65A9D2">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南宁市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EFF2036">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17.48</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5A2F1085">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2.64</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09BAB143">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30.76</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079734A3">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5.28</w:t>
            </w:r>
          </w:p>
        </w:tc>
      </w:tr>
      <w:tr w14:paraId="16AAA176">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5AEEB33E">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柳州市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A134207">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6.57</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212ABF88">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2.01</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626480F7">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11.56</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25FBED83">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4.01</w:t>
            </w:r>
          </w:p>
        </w:tc>
      </w:tr>
      <w:tr w14:paraId="45663ACA">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7ADA5092">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北海市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63F02F8">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1.72</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4CCDBD88">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0.52</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13CB02B8">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3.03</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7A9A7A95">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1.05</w:t>
            </w:r>
          </w:p>
        </w:tc>
      </w:tr>
      <w:tr w14:paraId="4CF17F81">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1B088AB3">
            <w:pPr>
              <w:keepNext w:val="0"/>
              <w:keepLines w:val="0"/>
              <w:pageBreakBefore w:val="0"/>
              <w:widowControl/>
              <w:kinsoku/>
              <w:wordWrap/>
              <w:bidi w:val="0"/>
              <w:spacing w:line="400" w:lineRule="exact"/>
              <w:jc w:val="center"/>
              <w:textAlignment w:val="center"/>
              <w:rPr>
                <w:rFonts w:hint="eastAsia" w:ascii="Times New Roman" w:hAnsi="Times New Roman" w:eastAsia="仿宋"/>
                <w:b/>
                <w:color w:val="auto"/>
                <w:sz w:val="28"/>
                <w:szCs w:val="28"/>
                <w:lang w:eastAsia="zh-CN"/>
              </w:rPr>
            </w:pPr>
            <w:r>
              <w:rPr>
                <w:rFonts w:ascii="Times New Roman" w:hAnsi="Times New Roman" w:eastAsia="仿宋"/>
                <w:b/>
                <w:color w:val="auto"/>
                <w:kern w:val="0"/>
                <w:sz w:val="28"/>
                <w:szCs w:val="28"/>
                <w:lang w:bidi="ar"/>
              </w:rPr>
              <w:t>防城港</w:t>
            </w:r>
            <w:r>
              <w:rPr>
                <w:rFonts w:hint="eastAsia" w:ascii="Times New Roman" w:hAnsi="Times New Roman" w:eastAsia="仿宋"/>
                <w:b/>
                <w:color w:val="auto"/>
                <w:kern w:val="0"/>
                <w:sz w:val="28"/>
                <w:szCs w:val="28"/>
                <w:lang w:eastAsia="zh-CN" w:bidi="ar"/>
              </w:rPr>
              <w:t>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DBA6994">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1.00</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5DAEF296">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0.34</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2044E671">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1.76</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31859EE6">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0.67</w:t>
            </w:r>
          </w:p>
        </w:tc>
      </w:tr>
      <w:tr w14:paraId="2A0D4F02">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68ED6D29">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钦州市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DE44B86">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1.23</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210DD981">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0.23</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5782BEFF">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2.16</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144259BF">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0.47</w:t>
            </w:r>
          </w:p>
        </w:tc>
      </w:tr>
      <w:tr w14:paraId="3B49B797">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01EB2A18">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贵港市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4B02808">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2.62</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116AF0E2">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1.01</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600DC36E">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4.61</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0F5007AF">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2.02</w:t>
            </w:r>
          </w:p>
        </w:tc>
      </w:tr>
      <w:tr w14:paraId="0563394C">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1744F513">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百色市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7504F14">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3.13</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4E910449">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0.69</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3882CD44">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5.49</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6F36889B">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1.38</w:t>
            </w:r>
          </w:p>
        </w:tc>
      </w:tr>
      <w:tr w14:paraId="7FD542B7">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3A8CF28C">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河池市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1AA9FF6">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2.52</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15B167AD">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0.50</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3CD8A3F7">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4.44</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02A9340C">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0.99</w:t>
            </w:r>
          </w:p>
        </w:tc>
      </w:tr>
      <w:tr w14:paraId="22B40E0B">
        <w:tblPrEx>
          <w:tblCellMar>
            <w:top w:w="0" w:type="dxa"/>
            <w:left w:w="108" w:type="dxa"/>
            <w:bottom w:w="0" w:type="dxa"/>
            <w:right w:w="108" w:type="dxa"/>
          </w:tblCellMar>
        </w:tblPrEx>
        <w:trPr>
          <w:trHeight w:val="59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7650DB23">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来宾市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785B251">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12.63</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61B0EB67">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3.36</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61CE8014">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22.23</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0E390189">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6.71</w:t>
            </w:r>
          </w:p>
        </w:tc>
      </w:tr>
      <w:tr w14:paraId="6DB98979">
        <w:tblPrEx>
          <w:tblCellMar>
            <w:top w:w="0" w:type="dxa"/>
            <w:left w:w="108" w:type="dxa"/>
            <w:bottom w:w="0" w:type="dxa"/>
            <w:right w:w="108" w:type="dxa"/>
          </w:tblCellMar>
        </w:tblPrEx>
        <w:trPr>
          <w:trHeight w:val="612" w:hRule="atLeast"/>
        </w:trPr>
        <w:tc>
          <w:tcPr>
            <w:tcW w:w="1431" w:type="dxa"/>
            <w:tcBorders>
              <w:top w:val="single" w:color="000000" w:sz="4" w:space="0"/>
              <w:left w:val="single" w:color="000000" w:sz="4" w:space="0"/>
              <w:bottom w:val="single" w:color="000000" w:sz="4" w:space="0"/>
              <w:right w:val="single" w:color="000000" w:sz="4" w:space="0"/>
            </w:tcBorders>
            <w:noWrap w:val="0"/>
            <w:vAlign w:val="center"/>
          </w:tcPr>
          <w:p w14:paraId="538A3F7A">
            <w:pPr>
              <w:keepNext w:val="0"/>
              <w:keepLines w:val="0"/>
              <w:pageBreakBefore w:val="0"/>
              <w:widowControl/>
              <w:kinsoku/>
              <w:wordWrap/>
              <w:bidi w:val="0"/>
              <w:spacing w:line="400" w:lineRule="exact"/>
              <w:jc w:val="center"/>
              <w:textAlignment w:val="center"/>
              <w:rPr>
                <w:rFonts w:ascii="Times New Roman" w:hAnsi="Times New Roman" w:eastAsia="仿宋"/>
                <w:b/>
                <w:color w:val="auto"/>
                <w:sz w:val="28"/>
                <w:szCs w:val="28"/>
              </w:rPr>
            </w:pPr>
            <w:r>
              <w:rPr>
                <w:rFonts w:ascii="Times New Roman" w:hAnsi="Times New Roman" w:eastAsia="仿宋"/>
                <w:b/>
                <w:color w:val="auto"/>
                <w:kern w:val="0"/>
                <w:sz w:val="28"/>
                <w:szCs w:val="28"/>
                <w:lang w:bidi="ar"/>
              </w:rPr>
              <w:t>崇左市</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7840338">
            <w:pPr>
              <w:keepNext w:val="0"/>
              <w:keepLines w:val="0"/>
              <w:pageBreakBefore w:val="0"/>
              <w:widowControl/>
              <w:suppressLineNumbers w:val="0"/>
              <w:kinsoku/>
              <w:wordWrap/>
              <w:bidi w:val="0"/>
              <w:spacing w:line="400" w:lineRule="exact"/>
              <w:jc w:val="center"/>
              <w:textAlignment w:val="center"/>
              <w:rPr>
                <w:rFonts w:ascii="Times New Roman" w:hAnsi="Times New Roman" w:eastAsia="宋体"/>
                <w:color w:val="auto"/>
                <w:sz w:val="28"/>
                <w:szCs w:val="28"/>
              </w:rPr>
            </w:pPr>
            <w:r>
              <w:rPr>
                <w:rFonts w:hint="default" w:ascii="Times New Roman" w:hAnsi="Times New Roman" w:eastAsia="宋体" w:cs="Times New Roman"/>
                <w:i w:val="0"/>
                <w:color w:val="auto"/>
                <w:kern w:val="0"/>
                <w:sz w:val="28"/>
                <w:szCs w:val="28"/>
                <w:u w:val="none"/>
                <w:lang w:val="en-US" w:eastAsia="zh-CN" w:bidi="ar"/>
              </w:rPr>
              <w:t>21.10</w:t>
            </w:r>
          </w:p>
        </w:tc>
        <w:tc>
          <w:tcPr>
            <w:tcW w:w="1945" w:type="dxa"/>
            <w:tcBorders>
              <w:top w:val="single" w:color="000000" w:sz="4" w:space="0"/>
              <w:left w:val="single" w:color="000000" w:sz="4" w:space="0"/>
              <w:bottom w:val="single" w:color="000000" w:sz="4" w:space="0"/>
              <w:right w:val="single" w:color="000000" w:sz="4" w:space="0"/>
            </w:tcBorders>
            <w:noWrap w:val="0"/>
            <w:vAlign w:val="center"/>
          </w:tcPr>
          <w:p w14:paraId="6F8197B5">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3.70</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03D48074">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37.15</w:t>
            </w:r>
          </w:p>
        </w:tc>
        <w:tc>
          <w:tcPr>
            <w:tcW w:w="1779" w:type="dxa"/>
            <w:tcBorders>
              <w:top w:val="single" w:color="000000" w:sz="4" w:space="0"/>
              <w:left w:val="single" w:color="000000" w:sz="4" w:space="0"/>
              <w:bottom w:val="single" w:color="000000" w:sz="4" w:space="0"/>
              <w:right w:val="single" w:color="000000" w:sz="4" w:space="0"/>
            </w:tcBorders>
            <w:noWrap w:val="0"/>
            <w:vAlign w:val="center"/>
          </w:tcPr>
          <w:p w14:paraId="39A721AB">
            <w:pPr>
              <w:keepNext w:val="0"/>
              <w:keepLines w:val="0"/>
              <w:pageBreakBefore w:val="0"/>
              <w:widowControl/>
              <w:kinsoku/>
              <w:wordWrap/>
              <w:bidi w:val="0"/>
              <w:spacing w:line="400" w:lineRule="exact"/>
              <w:jc w:val="center"/>
              <w:textAlignment w:val="center"/>
              <w:rPr>
                <w:rFonts w:ascii="Times New Roman" w:hAnsi="Times New Roman" w:eastAsia="宋体"/>
                <w:color w:val="auto"/>
                <w:sz w:val="28"/>
                <w:szCs w:val="28"/>
              </w:rPr>
            </w:pPr>
            <w:r>
              <w:rPr>
                <w:rFonts w:ascii="Times New Roman" w:hAnsi="Times New Roman" w:eastAsia="宋体"/>
                <w:color w:val="auto"/>
                <w:kern w:val="0"/>
                <w:sz w:val="28"/>
                <w:szCs w:val="28"/>
                <w:lang w:bidi="ar"/>
              </w:rPr>
              <w:t>7.41</w:t>
            </w:r>
          </w:p>
        </w:tc>
      </w:tr>
    </w:tbl>
    <w:p w14:paraId="181F17D1">
      <w:pPr>
        <w:keepNext w:val="0"/>
        <w:keepLines w:val="0"/>
        <w:pageBreakBefore w:val="0"/>
        <w:kinsoku/>
        <w:wordWrap/>
        <w:bidi w:val="0"/>
        <w:adjustRightInd w:val="0"/>
        <w:snapToGrid w:val="0"/>
        <w:spacing w:before="157" w:beforeLines="50" w:line="400" w:lineRule="exact"/>
        <w:ind w:right="0" w:rightChars="0" w:firstLine="560" w:firstLineChars="200"/>
        <w:rPr>
          <w:rFonts w:ascii="Times New Roman" w:hAnsi="Times New Roman" w:eastAsia="仿宋_GB2312"/>
          <w:color w:val="auto"/>
          <w:sz w:val="28"/>
          <w:szCs w:val="28"/>
          <w:lang w:val="en"/>
        </w:rPr>
      </w:pPr>
      <w:r>
        <w:rPr>
          <w:rFonts w:eastAsia="仿宋_GB2312"/>
          <w:color w:val="auto"/>
          <w:sz w:val="28"/>
          <w:szCs w:val="28"/>
        </w:rPr>
        <w:t>备注：分解任务量为指导数，不作为考核指标，补贴面积和作业量以实际数为准</w:t>
      </w:r>
      <w:r>
        <w:rPr>
          <w:rFonts w:hint="eastAsia" w:eastAsia="仿宋_GB2312"/>
          <w:color w:val="auto"/>
          <w:sz w:val="28"/>
          <w:szCs w:val="28"/>
        </w:rPr>
        <w:t>。</w:t>
      </w:r>
    </w:p>
    <w:p w14:paraId="64A61B2F">
      <w:pPr>
        <w:keepNext w:val="0"/>
        <w:keepLines w:val="0"/>
        <w:pageBreakBefore w:val="0"/>
        <w:kinsoku/>
        <w:wordWrap/>
        <w:bidi w:val="0"/>
        <w:spacing w:line="600" w:lineRule="exact"/>
        <w:rPr>
          <w:rFonts w:eastAsia="仿宋_GB2312"/>
          <w:color w:val="auto"/>
          <w:sz w:val="32"/>
          <w:lang w:val="en"/>
        </w:rPr>
      </w:pPr>
    </w:p>
    <w:p w14:paraId="4A9F011D"/>
    <w:sectPr>
      <w:footerReference r:id="rId3" w:type="default"/>
      <w:pgSz w:w="11906" w:h="16838"/>
      <w:pgMar w:top="1984" w:right="1417" w:bottom="1701" w:left="1417" w:header="851" w:footer="1247" w:gutter="0"/>
      <w:pgNumType w:fmt="decimal"/>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743137-8683-4EAD-86DA-0165879FCEE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1D994300-D4DC-4E6A-A5CB-8464AB8B7C77}"/>
  </w:font>
  <w:font w:name="仿宋_GB2312">
    <w:panose1 w:val="02010609030101010101"/>
    <w:charset w:val="86"/>
    <w:family w:val="auto"/>
    <w:pitch w:val="default"/>
    <w:sig w:usb0="00000001" w:usb1="080E0000" w:usb2="00000000" w:usb3="00000000" w:csb0="00040000" w:csb1="00000000"/>
    <w:embedRegular r:id="rId3" w:fontKey="{A8EBB60B-6B4F-4EA7-AD0D-9B659F6C54D4}"/>
  </w:font>
  <w:font w:name="方正小标宋_GBK">
    <w:panose1 w:val="02000000000000000000"/>
    <w:charset w:val="86"/>
    <w:family w:val="script"/>
    <w:pitch w:val="default"/>
    <w:sig w:usb0="A00002BF" w:usb1="38CF7CFA" w:usb2="00082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4" w:fontKey="{03D1DCD5-3D5C-440A-A118-6D1873705B69}"/>
  </w:font>
  <w:font w:name="楷体_GB2312">
    <w:panose1 w:val="02010609030101010101"/>
    <w:charset w:val="86"/>
    <w:family w:val="modern"/>
    <w:pitch w:val="default"/>
    <w:sig w:usb0="00000001" w:usb1="080E0000" w:usb2="00000000" w:usb3="00000000" w:csb0="00040000" w:csb1="00000000"/>
    <w:embedRegular r:id="rId5" w:fontKey="{4AE0817E-1B89-4FE5-B875-B3DC457FC77A}"/>
  </w:font>
  <w:font w:name="方正楷体_GBK">
    <w:panose1 w:val="02000000000000000000"/>
    <w:charset w:val="86"/>
    <w:family w:val="script"/>
    <w:pitch w:val="default"/>
    <w:sig w:usb0="800002BF" w:usb1="38CF7CFA" w:usb2="00000016" w:usb3="00000000" w:csb0="00040000" w:csb1="00000000"/>
    <w:embedRegular r:id="rId6" w:fontKey="{33A6266E-6954-4D80-9A56-EF2086813A4A}"/>
  </w:font>
  <w:font w:name="仿宋">
    <w:panose1 w:val="02010609060101010101"/>
    <w:charset w:val="86"/>
    <w:family w:val="modern"/>
    <w:pitch w:val="default"/>
    <w:sig w:usb0="800002BF" w:usb1="38CF7CFA" w:usb2="00000016" w:usb3="00000000" w:csb0="00040001" w:csb1="00000000"/>
    <w:embedRegular r:id="rId7" w:fontKey="{89D5DD9A-5896-445F-87A0-F578CF1C60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04A3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B0D81C">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4B0D81C">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EE5AFB"/>
    <w:rsid w:val="3EAB0813"/>
    <w:rsid w:val="46B52075"/>
    <w:rsid w:val="50DC2766"/>
    <w:rsid w:val="556024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Hyperlink"/>
    <w:basedOn w:val="4"/>
    <w:qFormat/>
    <w:uiPriority w:val="0"/>
    <w:rPr>
      <w:color w:val="0000FF"/>
      <w:u w:val="single"/>
    </w:rPr>
  </w:style>
  <w:style w:type="paragraph" w:customStyle="1" w:styleId="6">
    <w:name w:val="BodyTextIndent2"/>
    <w:next w:val="1"/>
    <w:qFormat/>
    <w:uiPriority w:val="0"/>
    <w:pPr>
      <w:widowControl w:val="0"/>
      <w:spacing w:line="480" w:lineRule="auto"/>
      <w:ind w:left="420" w:leftChars="200"/>
      <w:jc w:val="both"/>
      <w:textAlignment w:val="baseline"/>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4165</Words>
  <Characters>4514</Characters>
  <Lines>0</Lines>
  <Paragraphs>0</Paragraphs>
  <TotalTime>7</TotalTime>
  <ScaleCrop>false</ScaleCrop>
  <LinksUpToDate>false</LinksUpToDate>
  <CharactersWithSpaces>4517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指间沙</cp:lastModifiedBy>
  <dcterms:modified xsi:type="dcterms:W3CDTF">2026-10-20T03:16:59Z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eyJoZGlkIjoiM2E5YzU4ZWM0MmQxNDY1MjUwOGU2NTkwMWI2MjEzZWQiLCJ1c2VySWQiOiIzMTI2MTQ0ODAifQ==</vt:lpwstr>
  </property>
  <property fmtid="{D5CDD505-2E9C-101B-9397-08002B2CF9AE}" pid="4" name="ICV">
    <vt:lpwstr>429874AF59144C0D95D8389B59F77ACC_13</vt:lpwstr>
  </property>
</Properties>
</file>