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jc w:val="center"/>
        <w:rPr>
          <w:rFonts w:ascii="方正小标宋简体" w:eastAsia="方正小标宋简体"/>
          <w:sz w:val="44"/>
          <w:szCs w:val="44"/>
        </w:rPr>
      </w:pPr>
      <w:r>
        <w:rPr>
          <w:rFonts w:hint="eastAsia" w:ascii="方正小标宋简体" w:eastAsia="方正小标宋简体"/>
          <w:sz w:val="44"/>
          <w:szCs w:val="44"/>
        </w:rPr>
        <w:t>郑州商品交易所期权交易管理办法</w:t>
      </w:r>
    </w:p>
    <w:p>
      <w:pPr>
        <w:spacing w:line="360" w:lineRule="auto"/>
        <w:jc w:val="left"/>
        <w:outlineLvl w:val="0"/>
        <w:rPr>
          <w:rFonts w:hint="eastAsia" w:ascii="楷体" w:hAnsi="楷体" w:eastAsia="楷体"/>
          <w:sz w:val="24"/>
          <w:highlight w:val="none"/>
        </w:rPr>
      </w:pPr>
      <w:r>
        <w:rPr>
          <w:rFonts w:hint="eastAsia" w:ascii="楷体" w:hAnsi="楷体" w:eastAsia="楷体" w:cs="Times New Roman"/>
          <w:sz w:val="24"/>
        </w:rPr>
        <w:t>（</w:t>
      </w:r>
      <w:r>
        <w:rPr>
          <w:rFonts w:hint="eastAsia" w:ascii="楷体" w:hAnsi="楷体" w:eastAsia="楷体"/>
          <w:sz w:val="24"/>
          <w:lang w:val="en-US" w:eastAsia="zh-CN"/>
        </w:rPr>
        <w:t>2024年10月30日郑州商品交易所第八届理事会第二十次会议审议通过，</w:t>
      </w:r>
      <w:r>
        <w:rPr>
          <w:rFonts w:hint="eastAsia" w:ascii="楷体" w:hAnsi="楷体" w:eastAsia="楷体"/>
          <w:sz w:val="24"/>
          <w:highlight w:val="none"/>
          <w:lang w:val="en-US" w:eastAsia="zh-CN"/>
        </w:rPr>
        <w:t>自2025年3月3日起施行</w:t>
      </w:r>
      <w:r>
        <w:rPr>
          <w:rFonts w:hint="eastAsia" w:ascii="楷体" w:hAnsi="楷体" w:eastAsia="楷体"/>
          <w:sz w:val="24"/>
          <w:highlight w:val="none"/>
        </w:rPr>
        <w:t>）</w:t>
      </w:r>
    </w:p>
    <w:p>
      <w:pPr>
        <w:numPr>
          <w:ilvl w:val="0"/>
          <w:numId w:val="1"/>
        </w:numPr>
        <w:ind w:left="0" w:firstLine="0"/>
        <w:jc w:val="center"/>
        <w:rPr>
          <w:rFonts w:ascii="黑体" w:hAnsi="黑体" w:eastAsia="黑体"/>
          <w:sz w:val="32"/>
          <w:szCs w:val="32"/>
        </w:rPr>
      </w:pPr>
      <w:r>
        <w:rPr>
          <w:rFonts w:hint="eastAsia" w:ascii="黑体" w:hAnsi="黑体" w:eastAsia="黑体"/>
          <w:sz w:val="32"/>
          <w:szCs w:val="32"/>
        </w:rPr>
        <w:t>总 则</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为规范期权交易行为，保护期权交易当事人的合法权益和社会公众利益，促进市场功能发挥，根据《期货交易管理条例》和《郑州商品交易所交易规则》，结合市场实际，制定本办法。</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期权交易，是指采用公开的集中交易方式或者中国证券监督管理委员会（以下简称中国证监会）批准的其他方式进行的以期权合约为标的的交易活动。</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郑州商品交易所（以下简称交易所）根据公开、公平、公正和诚实信用的原则组织期权交易。</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本办法适用于交易所内的期权交易活动，交易所、会员、做市商、</w:t>
      </w:r>
      <w:r>
        <w:rPr>
          <w:rFonts w:hint="eastAsia" w:ascii="宋体" w:hAnsi="宋体"/>
          <w:sz w:val="28"/>
          <w:szCs w:val="28"/>
          <w:lang w:eastAsia="zh-CN"/>
        </w:rPr>
        <w:t>境外经纪机构、</w:t>
      </w:r>
      <w:r>
        <w:rPr>
          <w:rFonts w:hint="eastAsia" w:ascii="宋体" w:hAnsi="宋体"/>
          <w:sz w:val="28"/>
          <w:szCs w:val="28"/>
        </w:rPr>
        <w:t>客户、交易所指定的期货保证金存管银行及其他市场参与者应当遵守本办法。</w:t>
      </w:r>
    </w:p>
    <w:p>
      <w:pPr>
        <w:jc w:val="center"/>
        <w:rPr>
          <w:rFonts w:ascii="黑体" w:hAnsi="黑体" w:eastAsia="黑体" w:cs="Times New Roman"/>
          <w:sz w:val="32"/>
          <w:szCs w:val="32"/>
        </w:rPr>
      </w:pPr>
      <w:bookmarkStart w:id="0" w:name="_Toc401817144"/>
      <w:bookmarkStart w:id="1" w:name="_Toc402528221"/>
      <w:bookmarkStart w:id="2" w:name="_Toc413338906"/>
      <w:bookmarkStart w:id="3" w:name="_Toc418862434"/>
      <w:bookmarkStart w:id="4" w:name="_Toc402536822"/>
      <w:r>
        <w:rPr>
          <w:rFonts w:hint="eastAsia" w:ascii="黑体" w:hAnsi="黑体" w:eastAsia="黑体" w:cs="Times New Roman"/>
          <w:sz w:val="32"/>
          <w:szCs w:val="32"/>
        </w:rPr>
        <w:t>第二章 期权合约</w:t>
      </w:r>
      <w:bookmarkEnd w:id="0"/>
      <w:bookmarkEnd w:id="1"/>
      <w:bookmarkEnd w:id="2"/>
      <w:bookmarkEnd w:id="3"/>
      <w:bookmarkEnd w:id="4"/>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期权合约，是指交易所统一制定的、规定买方有权在将来某一时间以特定价格买入或者卖出约定标的物的标准化合约。</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期权合约的主要条款包括：合约标的物、合约类型、交易单位、报价单位、最小变动价位、涨跌停板幅度、合约月份、交易时间、最后交易日、到期日、行权价格、行权方式、交易代码以及上市交易所。</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期权合约标的物为期权合约买卖双方权利义务指向的对象。</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以期货合约为标的物的期权称为期货期权。</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期权合约类型包括看涨期权和看跌期权。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看涨期权是指买方有权在将来某一时间以特定价格买入约定标的物，而卖方需要履行相应义务的期权合约。</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看跌期权是指买方有权在将来某一时间以特定价格卖出约定标的物，而卖方需要履行相应义务的期权合约。</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期权合约的交易单位为“手”，期权交易以“一手”的整数倍进行，不同品种每手合约标的物数量在该品种的期权合约中载明。</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期权合约报价单位与其标的物的报价单位相同。</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最小变动价位是指期权合约单位价格涨跌变动的最小值。</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color w:val="000000"/>
          <w:sz w:val="28"/>
          <w:szCs w:val="28"/>
        </w:rPr>
        <w:t>期货期权合约涨跌停板幅度与标的期货合约涨跌停板幅度（标的期货合约上一交易日结算价乘以相应比例）相同。</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期货期权的合约月份是指该期权合约对应的标的期货合约的交割月份。</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交易所可以根据市场情况调整挂牌期权合约的合约月份。</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最后交易日是指期权合约可以进行交易的最后一个交易日。</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到期日是指期权合约买方能够行使权利的最后一个交易日。</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行权价格是指由期权合约规定的，买方有权在将来某一时间买入或卖出合约标的物的价格。</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行权价格间距是指相邻两个行权价格之间的差。</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行权价格是行权价格间距的整数倍。</w:t>
      </w:r>
    </w:p>
    <w:p>
      <w:pPr>
        <w:tabs>
          <w:tab w:val="left" w:pos="1620"/>
          <w:tab w:val="left" w:pos="1800"/>
        </w:tabs>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交易所可以根据市场情况对期权合约行权价格的数量和间距进行调整。</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行权方式分为美式、欧式以及交易所规定的其他方式。美式期权的买方在合约到期日及其之前任一交易日均可行使权利；欧式期权的买方只能在合约到期日当天行使权利。</w:t>
      </w:r>
    </w:p>
    <w:p>
      <w:pPr>
        <w:numPr>
          <w:ilvl w:val="0"/>
          <w:numId w:val="2"/>
        </w:numPr>
        <w:tabs>
          <w:tab w:val="left" w:pos="1620"/>
          <w:tab w:val="left" w:pos="1800"/>
        </w:tabs>
        <w:spacing w:line="360" w:lineRule="auto"/>
        <w:ind w:left="0" w:firstLine="560" w:firstLineChars="200"/>
        <w:rPr>
          <w:rFonts w:hint="eastAsia" w:ascii="宋体" w:hAnsi="宋体"/>
          <w:sz w:val="28"/>
          <w:szCs w:val="28"/>
        </w:rPr>
      </w:pPr>
      <w:r>
        <w:rPr>
          <w:rFonts w:hint="eastAsia" w:ascii="宋体" w:hAnsi="宋体"/>
          <w:sz w:val="28"/>
          <w:szCs w:val="28"/>
        </w:rPr>
        <w:t>期权合约交易代码由标的物交易代码、合约月份、看涨（跌）期权代码和行权价格等组成。对于系列期权，合约交易代码中注明系列期权标识（MS）。</w:t>
      </w:r>
    </w:p>
    <w:p>
      <w:pPr>
        <w:jc w:val="center"/>
        <w:rPr>
          <w:rFonts w:ascii="黑体" w:hAnsi="黑体" w:eastAsia="黑体" w:cs="Times New Roman"/>
          <w:sz w:val="32"/>
          <w:szCs w:val="32"/>
        </w:rPr>
      </w:pPr>
      <w:bookmarkStart w:id="5" w:name="_Toc418862435"/>
      <w:bookmarkStart w:id="6" w:name="_Toc401817145"/>
      <w:bookmarkStart w:id="7" w:name="_Toc413338907"/>
      <w:bookmarkStart w:id="8" w:name="_Toc402536823"/>
      <w:bookmarkStart w:id="9" w:name="_Toc402528222"/>
      <w:r>
        <w:rPr>
          <w:rFonts w:hint="eastAsia" w:ascii="黑体" w:hAnsi="黑体" w:eastAsia="黑体" w:cs="Times New Roman"/>
          <w:sz w:val="32"/>
          <w:szCs w:val="32"/>
        </w:rPr>
        <w:t>第三章 交易业务</w:t>
      </w:r>
      <w:bookmarkEnd w:id="5"/>
      <w:bookmarkEnd w:id="6"/>
      <w:bookmarkEnd w:id="7"/>
      <w:bookmarkEnd w:id="8"/>
      <w:bookmarkEnd w:id="9"/>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非期货公司会员、客户进行期权交易，使用与期货交易相同的交易编码。没有交易编码的，应当按期货交易的相关规定申请。</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期权交易实行投资者适当性制度。投资者适当性管理的具体办法，由交易所另行规定。</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期权交易实行做市商制度。做市商管理的具体办法，由交易所另行规定。</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非期货公司会员和客户可以向做市商询价。询价合约、询价频率由交易所确定并公布，交易所可以根据市场情况进行调整。</w:t>
      </w:r>
    </w:p>
    <w:p>
      <w:pPr>
        <w:tabs>
          <w:tab w:val="left" w:pos="1620"/>
          <w:tab w:val="left" w:pos="1800"/>
        </w:tabs>
        <w:spacing w:line="360" w:lineRule="auto"/>
        <w:ind w:firstLine="644" w:firstLineChars="230"/>
        <w:rPr>
          <w:rFonts w:ascii="宋体" w:hAnsi="宋体"/>
          <w:sz w:val="28"/>
          <w:szCs w:val="28"/>
        </w:rPr>
      </w:pPr>
      <w:r>
        <w:rPr>
          <w:rFonts w:hint="eastAsia" w:ascii="宋体" w:hAnsi="宋体"/>
          <w:sz w:val="28"/>
          <w:szCs w:val="28"/>
        </w:rPr>
        <w:t>交易所对市场的询价进行管理，当市场询价出现异常时，交易所可以采取电话提示、要求报告情况等措施，会员</w:t>
      </w:r>
      <w:r>
        <w:rPr>
          <w:rFonts w:hint="eastAsia" w:ascii="宋体" w:hAnsi="宋体"/>
          <w:sz w:val="28"/>
          <w:szCs w:val="28"/>
          <w:lang w:eastAsia="zh-CN"/>
        </w:rPr>
        <w:t>、境外经纪机构</w:t>
      </w:r>
      <w:r>
        <w:rPr>
          <w:rFonts w:hint="eastAsia" w:ascii="宋体" w:hAnsi="宋体"/>
          <w:sz w:val="28"/>
          <w:szCs w:val="28"/>
        </w:rPr>
        <w:t>和客户应当予以协助和配合。期货公司</w:t>
      </w:r>
      <w:r>
        <w:rPr>
          <w:rFonts w:hint="eastAsia" w:ascii="宋体" w:hAnsi="宋体"/>
          <w:sz w:val="28"/>
          <w:szCs w:val="28"/>
          <w:lang w:eastAsia="zh-CN"/>
        </w:rPr>
        <w:t>和境外经纪机构</w:t>
      </w:r>
      <w:r>
        <w:rPr>
          <w:rFonts w:hint="eastAsia" w:ascii="宋体" w:hAnsi="宋体"/>
          <w:sz w:val="28"/>
          <w:szCs w:val="28"/>
        </w:rPr>
        <w:t>应当对客户的询价进行管理，要求其合理询价。</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期权合约价格是指期权合约每报价单位的权利金。</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权利金是指期权买方为获得权利所支付的资金。</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期权的开盘价、收盘价、最高价、最低价、最新价、涨跌、最高买价、最低卖价、申买量、申卖量、成交量、持仓量、集合竞价以及成交撮合适用期货交易有关规定。</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 xml:space="preserve">期权交易限价指令、市价指令和套利指令的每次最小下单量、每次最大下单量与期货有关规定相同，交易所可以根据市场情况进行调整。 </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期权套利指令须附加指令属性。指令属性包括立即成交剩余指令自动撤销、立即全部成交否则自动撤销等。</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期权套利指令包括：</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（一）买入跨式套利，是指同时买入相同数量的同一标的物、同到期日、同行权价格的看涨期权和看跌期权；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（二）卖出跨式套利，是指同时卖出相同数量的同一标的物、同到期日、同行权价格的看涨期权和看跌期权；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（三）买入宽跨式套利，是指同时买入相同数量的同一标的物、同到期日、较高行权价格看涨期权和较低行权价格看跌期权；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（四）卖出宽跨式套利，是指同时卖出相同数量的同一标的物、同到期日、较高行权价格看涨期权和较低行权价格看跌期权。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集合竞价期间，交易所不接受套利指令。</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期权合约挂牌遵循以下原则：</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（一）新月份期权合约的挂牌时间在合约中载明；</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（二）新挂牌期权合约包括一个平值、若干个实值和虚值期权合约；</w:t>
      </w:r>
    </w:p>
    <w:p>
      <w:pPr>
        <w:spacing w:line="360" w:lineRule="auto"/>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三）期权合约上市交易后，交易所在每个交易日闭市后，根据其标的期货合约的结算价格和涨跌停板幅度，按照期权合约的规定，挂牌新行权价格的期权合约，到期日前一交易日闭市后不再挂牌新行权价格的期权合约；</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（四）期权合约挂牌基准价由交易所确定并公布。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本条第一款第（二）项中，平值期权是指行权价格等于（或者接近于）标的物上一交易日结算价格的期权合约。当两个相邻行权价格均值等于标的物结算价格时，取价格较高的作为平值期权行权价格；实值期权是指行权价格低于（高于）平值期权行权价格的看涨期权（看跌期权）；虚值期权是指行权价格高于（低于）平值期权行权价格的看涨期权（看跌期权）。</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期权合约了结方式包括平仓、行权和放弃。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平仓是指客户买入或卖出与其所持期权合约数量相同、方向相反的相同期权合约以了结期权持仓的方式。相同期权是指标的物、类型、月份、到期日和行权价格相同的期权合约。</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行权是指买方按照规定行使权利，以行权价格买入或者卖出标的物，或者按照规定的结算价格进行现金差价结算以了结期权持仓的方式。</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放弃是指期权合约到期，买方不行使权利以了结期权持仓的方式。</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非期货公司会员和客户可以申请对其同一交易编码下的双向期权投机持仓进行对冲平仓。对冲结果从当日期权持仓量中扣除，并计入成交量。申请时间和具体方式由交易所另行公布。</w:t>
      </w:r>
    </w:p>
    <w:p>
      <w:pPr>
        <w:jc w:val="center"/>
        <w:rPr>
          <w:rFonts w:ascii="黑体" w:hAnsi="黑体" w:eastAsia="黑体" w:cs="Times New Roman"/>
          <w:sz w:val="32"/>
          <w:szCs w:val="32"/>
        </w:rPr>
      </w:pPr>
      <w:r>
        <w:rPr>
          <w:rFonts w:hint="eastAsia" w:ascii="黑体" w:hAnsi="黑体" w:eastAsia="黑体" w:cs="Times New Roman"/>
          <w:sz w:val="32"/>
          <w:szCs w:val="32"/>
        </w:rPr>
        <w:t>第四章 行权与履约</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客户的行权与履约应当通过会员，</w:t>
      </w:r>
      <w:r>
        <w:rPr>
          <w:rFonts w:hint="eastAsia" w:ascii="宋体" w:hAnsi="宋体"/>
          <w:sz w:val="28"/>
          <w:szCs w:val="28"/>
          <w:lang w:eastAsia="zh-CN"/>
        </w:rPr>
        <w:t>或通过境外经纪机构委托会员，</w:t>
      </w:r>
      <w:r>
        <w:rPr>
          <w:rFonts w:hint="eastAsia" w:ascii="宋体" w:hAnsi="宋体"/>
          <w:sz w:val="28"/>
          <w:szCs w:val="28"/>
        </w:rPr>
        <w:t>并以会员名义在交易所办理。</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在交易所规定时间内，期权买方有权提出行权或放弃申请。</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期权卖方有履约义务。履约是指当期权买方提出行权时，期权卖方按合约规定的行权价格买入或卖出一定数量的标的物，或者按照规定的结算价格进行现金差价结算。</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期权买方提出行权申请的，交易所按照投机、套利、套保的顺序选择卖方持仓配对。同一持仓属性，按持仓时间最长原则选择。</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交易所可以对到期日行权申请和放弃申请的时间进行调整。</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非期货公司会员和客户可以申请对其同一交易编码下行权及履约后的双向期货投机持仓进行对冲平仓，对冲数量不超过行权及履约获得的期货买投机持仓量与卖投机持仓量中较大者。对冲结果从当日期货持仓量中扣除，并计入成交量。申请时间和具体方式由交易所另行公布。</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货期权的看涨期权行权与履约后，买方按行权价格获得标的期货买持仓，卖方按同一行权价格获得标的期货卖持仓；期货期权的看跌期权行权与履约后，买方按行权价格获得标的期货卖持仓，卖方按同一行权价格获得标的期货买持仓。</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期权合约到期前，会员</w:t>
      </w:r>
      <w:r>
        <w:rPr>
          <w:rFonts w:hint="eastAsia" w:ascii="宋体" w:hAnsi="宋体"/>
          <w:sz w:val="28"/>
          <w:szCs w:val="28"/>
          <w:lang w:eastAsia="zh-CN"/>
        </w:rPr>
        <w:t>、境外经纪机构</w:t>
      </w:r>
      <w:r>
        <w:rPr>
          <w:rFonts w:hint="eastAsia" w:ascii="宋体" w:hAnsi="宋体"/>
          <w:sz w:val="28"/>
          <w:szCs w:val="28"/>
        </w:rPr>
        <w:t>应当提醒客户妥善处理期权持仓。</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到期日结算时，对未在规定时间内提交行权或放弃申请的期权持仓，交易所进行如下处理：</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（一）行权价格小于当日标的物结算价的看涨期权持仓自动行权；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（二）行权价格大于当日标的物结算价的看跌期权持仓自动行权；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（三）其他期权持仓自动放弃。</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期货期权的买方行权时，其资金余额应当满足期货交易保证金要求。</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买方客户资金不足的，会员</w:t>
      </w:r>
      <w:r>
        <w:rPr>
          <w:rFonts w:hint="eastAsia" w:ascii="宋体" w:hAnsi="宋体" w:cs="Times New Roman"/>
          <w:sz w:val="28"/>
          <w:szCs w:val="28"/>
          <w:lang w:eastAsia="zh-CN"/>
        </w:rPr>
        <w:t>、</w:t>
      </w:r>
      <w:r>
        <w:rPr>
          <w:rFonts w:hint="eastAsia" w:ascii="宋体" w:hAnsi="宋体"/>
          <w:sz w:val="28"/>
          <w:szCs w:val="28"/>
          <w:lang w:eastAsia="zh-CN"/>
        </w:rPr>
        <w:t>境外经纪机构</w:t>
      </w:r>
      <w:r>
        <w:rPr>
          <w:rFonts w:hint="eastAsia" w:ascii="宋体" w:hAnsi="宋体" w:eastAsia="宋体" w:cs="Times New Roman"/>
          <w:sz w:val="28"/>
          <w:szCs w:val="28"/>
        </w:rPr>
        <w:t>不得接受其行权申请。符合本办法第三十五条第（一）、（二）项条件但资金不足的，会员应代买方客户</w:t>
      </w:r>
      <w:r>
        <w:rPr>
          <w:rFonts w:hint="eastAsia" w:ascii="宋体" w:hAnsi="宋体" w:cs="Times New Roman"/>
          <w:sz w:val="28"/>
          <w:szCs w:val="28"/>
          <w:lang w:eastAsia="zh-CN"/>
        </w:rPr>
        <w:t>，或境外经纪机构应代买方客户通过会员</w:t>
      </w:r>
      <w:r>
        <w:rPr>
          <w:rFonts w:hint="eastAsia" w:ascii="宋体" w:hAnsi="宋体" w:eastAsia="宋体" w:cs="Times New Roman"/>
          <w:sz w:val="28"/>
          <w:szCs w:val="28"/>
        </w:rPr>
        <w:t>向交易所提交放弃申请。</w:t>
      </w:r>
    </w:p>
    <w:p>
      <w:pPr>
        <w:jc w:val="center"/>
        <w:rPr>
          <w:rFonts w:ascii="黑体" w:hAnsi="黑体" w:eastAsia="黑体" w:cs="Times New Roman"/>
          <w:sz w:val="32"/>
          <w:szCs w:val="32"/>
        </w:rPr>
      </w:pPr>
      <w:bookmarkStart w:id="10" w:name="_Toc402528223"/>
      <w:bookmarkStart w:id="11" w:name="_Toc418862436"/>
      <w:bookmarkStart w:id="12" w:name="_Toc402536824"/>
      <w:bookmarkStart w:id="13" w:name="_Toc401817146"/>
      <w:bookmarkStart w:id="14" w:name="_Toc413338908"/>
      <w:r>
        <w:rPr>
          <w:rFonts w:hint="eastAsia" w:ascii="黑体" w:hAnsi="黑体" w:eastAsia="黑体" w:cs="Times New Roman"/>
          <w:sz w:val="32"/>
          <w:szCs w:val="32"/>
        </w:rPr>
        <w:t>第五章 结算业务</w:t>
      </w:r>
      <w:bookmarkEnd w:id="10"/>
      <w:bookmarkEnd w:id="11"/>
      <w:bookmarkEnd w:id="12"/>
      <w:bookmarkEnd w:id="13"/>
      <w:bookmarkEnd w:id="14"/>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会员期权交易使用与期货交易相同的专用结算账户和专用资金账户。</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期权交易的买方支付权利金，不交纳交易保证金；期权交易的卖方收取权利金，交纳交易保证金。</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期权买方开仓时，按照成交价支付权利金；期权买方平仓时，按照成交价收取权利金。</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期权卖方开仓时，按照成交价收取权利金；期权卖方平仓时，按照成交价支付权利金。</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交易所根据权利金收付情况调整会员结算准备金余额。</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期权卖方开仓时，交易所按照上一交易日结算时该期权合约保证金标准收取期权卖方交易保证金；期权卖方平仓时，交易所释放期权卖方所平期权合约的交易保证金。</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每日结算时，交易所按当日结算价计收期权卖方的交易保证金，根据成交量和行权量（履约量）计收买卖双方交易手续费和行权（履约）手续费，并对应收应付的款项同时划转，相应增加或减少会员的结算准备金。</w:t>
      </w:r>
    </w:p>
    <w:p>
      <w:pPr>
        <w:ind w:firstLine="506" w:firstLineChars="181"/>
        <w:rPr>
          <w:rFonts w:ascii="宋体" w:hAnsi="宋体" w:eastAsia="宋体" w:cs="Times New Roman"/>
          <w:sz w:val="28"/>
          <w:szCs w:val="28"/>
        </w:rPr>
      </w:pPr>
      <w:r>
        <w:rPr>
          <w:rFonts w:hint="eastAsia" w:ascii="宋体" w:hAnsi="宋体" w:eastAsia="宋体" w:cs="Times New Roman"/>
          <w:sz w:val="28"/>
          <w:szCs w:val="28"/>
        </w:rPr>
        <w:t>手续费标准由交易所确定，交易所可以根据市场情况对手续费标准进行调整。</w:t>
      </w:r>
    </w:p>
    <w:p>
      <w:pPr>
        <w:numPr>
          <w:ilvl w:val="0"/>
          <w:numId w:val="2"/>
        </w:numPr>
        <w:tabs>
          <w:tab w:val="left" w:pos="1440"/>
          <w:tab w:val="left" w:pos="1620"/>
          <w:tab w:val="left" w:pos="1800"/>
          <w:tab w:val="left" w:pos="2221"/>
        </w:tabs>
        <w:spacing w:line="360" w:lineRule="auto"/>
        <w:ind w:left="0" w:firstLine="560" w:firstLineChars="200"/>
        <w:rPr>
          <w:rFonts w:ascii="宋体" w:hAnsi="宋体"/>
          <w:sz w:val="28"/>
          <w:szCs w:val="28"/>
        </w:rPr>
      </w:pPr>
      <w:r>
        <w:rPr>
          <w:rFonts w:hint="eastAsia" w:ascii="宋体" w:hAnsi="宋体"/>
          <w:sz w:val="28"/>
          <w:szCs w:val="28"/>
        </w:rPr>
        <w:t>每日结算时，交易所将符合条件的期权和期货持仓自动确认为备兑期权套利持仓，包括备兑看涨期权套利和备兑看跌期权套利。确认备兑期权套利持仓时，交易所优先将常规期权持仓和期货持仓进行组合确认。</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备兑看涨期权套利是指持有看涨期权卖持仓，同时持有相同数量的标的期货买持仓；备兑看跌期权套利是指持有看跌期权卖持仓，同时持有相同数量的标的期货卖持仓。</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期权合约结算价的确定方法为：</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（一）除最后交易日外，交易所根据隐含波动率确定各期权合约的理论价，作为当日结算价；</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（二）最后交易日，期权合约结算价计算公式为：</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看涨期权结算价=Max（标的物结算价–行权价格，0）；</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看跌期权结算价=Max（行权价格–标的物结算价，0）；</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（三）期权价格明显不合理时，交易所可以调整期权合约结算价。</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本条第一款第（一）项所称隐含波动率是指根据期权市场价格，利用期权定价模型计算的标的物价格波动率。</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对于行权或放弃的买卖双方，交易所于结算时减少各自相应的期权合约持仓，同时释放期权卖方交易保证金。</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由期权行权转化的期货持仓不参与当日期货结算价计算。</w:t>
      </w:r>
    </w:p>
    <w:p>
      <w:pPr>
        <w:spacing w:before="156" w:after="156"/>
        <w:jc w:val="center"/>
        <w:rPr>
          <w:rFonts w:ascii="黑体" w:hAnsi="黑体" w:eastAsia="黑体" w:cs="Times New Roman"/>
          <w:sz w:val="32"/>
          <w:szCs w:val="32"/>
        </w:rPr>
      </w:pPr>
      <w:bookmarkStart w:id="15" w:name="_Toc413338910"/>
      <w:bookmarkStart w:id="16" w:name="_Toc418862438"/>
      <w:bookmarkStart w:id="17" w:name="_Toc401817148"/>
      <w:bookmarkStart w:id="18" w:name="_Toc402528225"/>
      <w:bookmarkStart w:id="19" w:name="_Toc402536826"/>
      <w:r>
        <w:rPr>
          <w:rFonts w:hint="eastAsia" w:ascii="黑体" w:hAnsi="黑体" w:eastAsia="黑体" w:cs="Times New Roman"/>
          <w:sz w:val="32"/>
          <w:szCs w:val="32"/>
        </w:rPr>
        <w:t>第六章</w:t>
      </w:r>
      <w:r>
        <w:rPr>
          <w:rFonts w:ascii="黑体" w:hAnsi="黑体" w:eastAsia="黑体" w:cs="Times New Roman"/>
          <w:sz w:val="32"/>
          <w:szCs w:val="32"/>
        </w:rPr>
        <w:t xml:space="preserve"> </w:t>
      </w:r>
      <w:r>
        <w:rPr>
          <w:rFonts w:hint="eastAsia" w:ascii="黑体" w:hAnsi="黑体" w:eastAsia="黑体" w:cs="Times New Roman"/>
          <w:sz w:val="32"/>
          <w:szCs w:val="32"/>
        </w:rPr>
        <w:t>风险管理</w:t>
      </w:r>
      <w:bookmarkEnd w:id="15"/>
      <w:bookmarkEnd w:id="16"/>
      <w:bookmarkEnd w:id="17"/>
      <w:bookmarkEnd w:id="18"/>
      <w:bookmarkEnd w:id="19"/>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期权交易风险管理实行保证金制度、涨跌停板制度、限仓制度、交易限额制度、大户报告制度、强行平仓制度和风险警示制度。</w:t>
      </w:r>
    </w:p>
    <w:p>
      <w:pPr>
        <w:numPr>
          <w:ilvl w:val="0"/>
          <w:numId w:val="2"/>
        </w:numPr>
        <w:tabs>
          <w:tab w:val="left" w:pos="1620"/>
          <w:tab w:val="left" w:pos="1800"/>
        </w:tabs>
        <w:spacing w:line="360" w:lineRule="auto"/>
        <w:ind w:left="0" w:firstLine="560" w:firstLineChars="200"/>
        <w:rPr>
          <w:rFonts w:ascii="宋体" w:hAnsi="宋体"/>
          <w:sz w:val="28"/>
          <w:szCs w:val="28"/>
        </w:rPr>
      </w:pPr>
      <w:bookmarkStart w:id="20" w:name="_Ref375310637"/>
      <w:r>
        <w:rPr>
          <w:rFonts w:hint="eastAsia" w:ascii="宋体" w:hAnsi="宋体"/>
          <w:sz w:val="28"/>
          <w:szCs w:val="28"/>
        </w:rPr>
        <w:t>期权交易实行保证金制度。期货期权卖方交易保证金的收取标准为下列两者中较大者：</w:t>
      </w:r>
      <w:bookmarkEnd w:id="20"/>
    </w:p>
    <w:p>
      <w:pPr>
        <w:tabs>
          <w:tab w:val="left" w:pos="1701"/>
        </w:tabs>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（一）期权合约结算价×标的期货合约交易单位＋标的期货合约交易保证金－期权合约虚值额的一半；</w:t>
      </w:r>
    </w:p>
    <w:p>
      <w:pPr>
        <w:tabs>
          <w:tab w:val="left" w:pos="1701"/>
        </w:tabs>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（二）期权合约结算价×标的期货合约交易单位＋标的期货合约交易保证金的一半。</w:t>
      </w:r>
    </w:p>
    <w:p>
      <w:pPr>
        <w:tabs>
          <w:tab w:val="left" w:pos="1701"/>
        </w:tabs>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其中：</w:t>
      </w:r>
    </w:p>
    <w:p>
      <w:pPr>
        <w:tabs>
          <w:tab w:val="left" w:pos="1701"/>
        </w:tabs>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看涨期权合约虚值额=Max（行权价格－标的期货合约结算价，0）×标的期货合约交易单位；</w:t>
      </w:r>
    </w:p>
    <w:p>
      <w:pPr>
        <w:tabs>
          <w:tab w:val="left" w:pos="1701"/>
        </w:tabs>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看跌期权合约虚值额=Max（标的期货合约结算价－行权价格，0）×标的期货合约交易单位。</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卖出跨式或宽跨式套利，交易保证金收取标准为卖出看涨期权与卖出看跌期权交易保证金较大者加上另一部位权利金。</w:t>
      </w:r>
    </w:p>
    <w:p>
      <w:pPr>
        <w:numPr>
          <w:ilvl w:val="0"/>
          <w:numId w:val="2"/>
        </w:numPr>
        <w:tabs>
          <w:tab w:val="left" w:pos="1620"/>
          <w:tab w:val="left" w:pos="1701"/>
          <w:tab w:val="left" w:pos="1800"/>
        </w:tabs>
        <w:spacing w:line="360" w:lineRule="auto"/>
        <w:ind w:left="0" w:firstLine="560" w:firstLineChars="200"/>
        <w:rPr>
          <w:rFonts w:ascii="宋体" w:hAnsi="宋体"/>
          <w:sz w:val="28"/>
          <w:szCs w:val="28"/>
        </w:rPr>
      </w:pPr>
      <w:r>
        <w:rPr>
          <w:rFonts w:hint="eastAsia" w:ascii="宋体" w:hAnsi="宋体"/>
          <w:sz w:val="28"/>
          <w:szCs w:val="28"/>
        </w:rPr>
        <w:t>备兑期权套利交易保证金的收取标准为权利金与标的期货交易保证金之和。</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期权交易实行涨跌停板制度。期货期权的涨跌停板价格计算公式如下：</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（一）涨停板价格 = 期权合约上一交易日结算价＋标的期货合约上一交易日结算价×标的期货合约涨停板的比例；</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（二）跌停板价格 = Max（期权合约上一交易日结算价－标的期货合约上一交易日结算价×标的期货合约跌停板的比例，期权合约最小变动价位）。</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当某期权合约在某一交易日收盘前5分钟内出现只有涨（跌）停板价位的买入（卖出）申报、没有涨（跌）停板价位的卖出（买入）申报，或者有卖出（买入）申报立即成交、但未打开涨（跌）停板价位的情况，称为涨（跌）停板单方无报价（以下简称单边市）。</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如果某期权合约上一交易日结算价小于等于当日涨跌停板幅度，且当日收盘前5分钟内出现只有最低报价的卖出申报、没有最低报价的买入申报，或者一有买入申报就成交、但未打开最低报价的情况，交易所不将其按照单边市处理。</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当期权合约连续三个交易日出现同方向单边市时，交易所不实行强制减仓措施。</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标的期货合约暂停交易时，相应期权合约暂停交易。最后交易日期权合约全天暂停交易的，期权最后交易日、到期日顺延至下一交易日。</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当标的期货合约调整交易保证金标准和涨跌停板幅度时，期权合约交易保证金标准和涨跌停板幅度随之相应变化。</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期权交易实行限仓制度。期权限仓是指交易所规定非期货公司会员或客户可以持有的、按单边计算的某月份期权合约投机持仓的最大数量。</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期权单边持仓数量按买入看涨期权与卖出看跌期权持仓量之和、买入看跌期权与卖出看涨期权持仓量之和分别计算。</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非期货公司会员、客户的投机持仓数量不得超过交易所规定的限仓标准。期权合约的限仓标准由交易所确定并公布，交易所可以根据市场情况进行调整。</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非期货公司会员和客户进行套期保值、套利交易以及从事做市商业务，其持仓限额按照交易所有关规定执行。</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交易所可以对期权合约实行交易限额制度，具体按照《郑州商品交易所期货交易风险控制管理办法》相关规定执行。</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非期货公司会员、客户因期权行权超出期货限仓标准的，交易所按照有关规定实行强行平仓措施。</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期权交易实行大户报告制度。大户报告的条件、应提供材料等，适用《郑州商品交易所期货交易风险控制管理办法》有关规定。</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期权交易实行强行平仓制度。出现以下情形的，交易所按照流动性和释放资金量最大原则进行强行平仓：</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（一）会员结算准备金余额小于零并未能在规定时间补足，且没有提供平仓名单的；</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（二）非期货公司会员或客户持仓量超出其限仓规定的。</w:t>
      </w:r>
    </w:p>
    <w:p>
      <w:pPr>
        <w:tabs>
          <w:tab w:val="left" w:pos="1620"/>
          <w:tab w:val="left" w:pos="1800"/>
        </w:tabs>
        <w:spacing w:line="360" w:lineRule="auto"/>
        <w:ind w:firstLine="560" w:firstLineChars="200"/>
        <w:rPr>
          <w:rFonts w:ascii="宋体" w:hAnsi="宋体"/>
          <w:sz w:val="28"/>
          <w:szCs w:val="28"/>
        </w:rPr>
      </w:pPr>
      <w:r>
        <w:rPr>
          <w:rFonts w:hint="eastAsia" w:ascii="宋体" w:hAnsi="宋体"/>
          <w:sz w:val="28"/>
          <w:szCs w:val="28"/>
        </w:rPr>
        <w:t>其他强行平仓的情形、原则和程序等，适用《郑州商品交易所期货交易风险控制管理办法》有关规定。</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期权交易实行风险警示制度。风险警示的情形、方式等，适用《郑州商品交易所期货交易风险控制管理办法》有关规定。</w:t>
      </w:r>
    </w:p>
    <w:p>
      <w:pPr>
        <w:spacing w:before="156" w:after="156"/>
        <w:jc w:val="center"/>
        <w:rPr>
          <w:rFonts w:ascii="黑体" w:hAnsi="黑体" w:eastAsia="黑体" w:cs="Times New Roman"/>
          <w:sz w:val="32"/>
          <w:szCs w:val="32"/>
        </w:rPr>
      </w:pPr>
      <w:bookmarkStart w:id="21" w:name="_Toc418862439"/>
      <w:bookmarkStart w:id="22" w:name="_Toc402528226"/>
      <w:bookmarkStart w:id="23" w:name="_Toc401817149"/>
      <w:bookmarkStart w:id="24" w:name="_Toc413338911"/>
      <w:bookmarkStart w:id="25" w:name="_Toc402536827"/>
      <w:r>
        <w:rPr>
          <w:rFonts w:hint="eastAsia" w:ascii="黑体" w:hAnsi="黑体" w:eastAsia="黑体" w:cs="Times New Roman"/>
          <w:sz w:val="32"/>
          <w:szCs w:val="32"/>
        </w:rPr>
        <w:t>第七章</w:t>
      </w:r>
      <w:r>
        <w:rPr>
          <w:rFonts w:ascii="黑体" w:hAnsi="黑体" w:eastAsia="黑体" w:cs="Times New Roman"/>
          <w:sz w:val="32"/>
          <w:szCs w:val="32"/>
        </w:rPr>
        <w:t xml:space="preserve"> </w:t>
      </w:r>
      <w:r>
        <w:rPr>
          <w:rFonts w:hint="eastAsia" w:ascii="黑体" w:hAnsi="黑体" w:eastAsia="黑体" w:cs="Times New Roman"/>
          <w:sz w:val="32"/>
          <w:szCs w:val="32"/>
        </w:rPr>
        <w:t>信息管理</w:t>
      </w:r>
      <w:bookmarkEnd w:id="21"/>
      <w:bookmarkEnd w:id="22"/>
      <w:bookmarkEnd w:id="23"/>
      <w:bookmarkEnd w:id="24"/>
      <w:bookmarkEnd w:id="25"/>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期权交易信息是指在交易所期权交易活动中所产生的期权交易行情、交易数据统计资料、交易所发布的各种公告信息以及中国证监会指定披露的其他相关信息。</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期权交易信息所有权属于交易所。期权交易信息由交易所统一管理和发布,交易所可以独立、与第三方合作或委托第三方对期权交易信息进行经营管理。未经交易所许可，任何单位和个人不得擅自发布，不得将之用于商业用途。</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交易所发布即时、延时、每日、每周、每月期权交易行情信息，每日、每月、每年期权交易统计信息，以及法律法规要求披露的其他交易信息。</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即时行情信息是指在交易时间内，与交易活动同步发布的交易行情信息；延时行情信息是指即时行情信息延迟一定时间后发布的交易行情信息。主要内容有：交易代码、最新价、涨跌、成交量、持仓量、持仓量变化、申买价、申卖价、申买量、申卖量、结算价、开盘价、收盘价、最高价、最低价和前结算价等。</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每日期权交易信息在每个交易日结束后发布，主要内容有：</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（一）每日行情：交易代码、开盘价、最高价、最低价、收盘价、前结算价、结算价、涨跌、成交量、成交额、持仓量、持仓量变化、德尔塔（Delta）、隐含波动率和行权量；</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（二）最近月份及活跃月份前20名会员的成交量、买卖持仓量。</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本条第一款第（一）项所称德尔塔（Delta）是指期权价格的变动相对于其标的物价格变动的比率；行权量是指期权合约以行权为了结方式的数量。</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每周期权交易信息在每周的最后一个交易日结束后发布，主要内容有：交易代码、周开盘价、最高价、最低价、周收盘价、涨跌（本周末收盘价与上周末结算价之差）、周末结算价、成交量、成交额、持仓量、持仓量变化（本周末持仓量与上周末持仓量之差）和行权量。</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每月期权交易信息在每月最后一个交易日结束后发布，主要内容有：交易代码、月开盘价、最高价、最低价、月末收盘价、涨跌（本月末收盘价与上月末结算价之差）、月末结算价、成交量、成交额、持仓量、持仓量变化（本月末持仓量与上月末持仓量之差）和行权量。</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每年期权交易信息在每年最后一个交易日结束后发布，主要内容有：</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（一）所有品种期权总成交量和总成交额、分品种成交量和成交额；</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（二）总行权量和分品种行权量。</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因信息经营机构或公众媒体转发即时交易行情信息发生故障，影响会员或客户正常交易的，交易所不承担责任。</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lang w:eastAsia="zh-CN"/>
        </w:rPr>
        <w:t>任何单位或者</w:t>
      </w:r>
      <w:r>
        <w:rPr>
          <w:rFonts w:hint="eastAsia" w:ascii="宋体" w:hAnsi="宋体"/>
          <w:sz w:val="28"/>
          <w:szCs w:val="28"/>
        </w:rPr>
        <w:t>个人不得发布虚假或带有误导性质的信息。</w:t>
      </w:r>
    </w:p>
    <w:p>
      <w:pPr>
        <w:spacing w:before="156" w:after="156"/>
        <w:jc w:val="center"/>
        <w:rPr>
          <w:rFonts w:ascii="黑体" w:hAnsi="黑体" w:eastAsia="黑体" w:cs="Times New Roman"/>
          <w:sz w:val="32"/>
          <w:szCs w:val="32"/>
        </w:rPr>
      </w:pPr>
      <w:bookmarkStart w:id="26" w:name="_Toc370132641"/>
      <w:bookmarkStart w:id="27" w:name="_Toc402536828"/>
      <w:bookmarkStart w:id="28" w:name="_Toc401817150"/>
      <w:bookmarkStart w:id="29" w:name="_Toc418862440"/>
      <w:bookmarkStart w:id="30" w:name="_Toc402528227"/>
      <w:bookmarkStart w:id="31" w:name="_Toc413338912"/>
      <w:r>
        <w:rPr>
          <w:rFonts w:hint="eastAsia" w:ascii="黑体" w:hAnsi="黑体" w:eastAsia="黑体" w:cs="Times New Roman"/>
          <w:sz w:val="32"/>
          <w:szCs w:val="32"/>
        </w:rPr>
        <w:t>第八章</w:t>
      </w:r>
      <w:r>
        <w:rPr>
          <w:rFonts w:ascii="黑体" w:hAnsi="黑体" w:eastAsia="黑体" w:cs="Times New Roman"/>
          <w:sz w:val="32"/>
          <w:szCs w:val="32"/>
        </w:rPr>
        <w:t xml:space="preserve"> </w:t>
      </w:r>
      <w:r>
        <w:rPr>
          <w:rFonts w:hint="eastAsia" w:ascii="黑体" w:hAnsi="黑体" w:eastAsia="黑体" w:cs="Times New Roman"/>
          <w:sz w:val="32"/>
          <w:szCs w:val="32"/>
        </w:rPr>
        <w:t>附</w:t>
      </w:r>
      <w:r>
        <w:rPr>
          <w:rFonts w:ascii="黑体" w:hAnsi="黑体" w:eastAsia="黑体" w:cs="Times New Roman"/>
          <w:sz w:val="32"/>
          <w:szCs w:val="32"/>
        </w:rPr>
        <w:t xml:space="preserve"> </w:t>
      </w:r>
      <w:r>
        <w:rPr>
          <w:rFonts w:hint="eastAsia" w:ascii="黑体" w:hAnsi="黑体" w:eastAsia="黑体" w:cs="Times New Roman"/>
          <w:sz w:val="32"/>
          <w:szCs w:val="32"/>
        </w:rPr>
        <w:t>则</w:t>
      </w:r>
      <w:bookmarkEnd w:id="26"/>
      <w:bookmarkEnd w:id="27"/>
      <w:bookmarkEnd w:id="28"/>
      <w:bookmarkEnd w:id="29"/>
      <w:bookmarkEnd w:id="30"/>
      <w:bookmarkEnd w:id="31"/>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本办法未明确规定的，按照交易所其他业务规则有关规定执行。</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交易所其他业务规则规定与本办法不一致的，在期权相关业务中，适用本办法。</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违反本办法规定的，按照《郑州商品交易所违规处理办法》有关规定处理。</w:t>
      </w:r>
    </w:p>
    <w:p>
      <w:pPr>
        <w:numPr>
          <w:ilvl w:val="0"/>
          <w:numId w:val="2"/>
        </w:numPr>
        <w:tabs>
          <w:tab w:val="left" w:pos="1620"/>
          <w:tab w:val="left" w:pos="1800"/>
        </w:tabs>
        <w:spacing w:line="360" w:lineRule="auto"/>
        <w:ind w:left="0" w:firstLine="560" w:firstLineChars="200"/>
        <w:rPr>
          <w:rFonts w:ascii="宋体" w:hAnsi="宋体"/>
          <w:sz w:val="28"/>
          <w:szCs w:val="28"/>
        </w:rPr>
      </w:pPr>
      <w:r>
        <w:rPr>
          <w:rFonts w:hint="eastAsia" w:ascii="宋体" w:hAnsi="宋体"/>
          <w:sz w:val="28"/>
          <w:szCs w:val="28"/>
        </w:rPr>
        <w:t>本办法解释权属于郑州商品交易所。</w:t>
      </w:r>
    </w:p>
    <w:p>
      <w:pPr>
        <w:numPr>
          <w:ilvl w:val="0"/>
          <w:numId w:val="2"/>
        </w:numPr>
        <w:tabs>
          <w:tab w:val="left" w:pos="1620"/>
          <w:tab w:val="left" w:pos="1800"/>
        </w:tabs>
        <w:spacing w:line="360" w:lineRule="auto"/>
        <w:ind w:left="0" w:firstLine="560" w:firstLineChars="200"/>
        <w:rPr>
          <w:rFonts w:ascii="宋体" w:hAnsi="宋体"/>
          <w:sz w:val="28"/>
          <w:szCs w:val="28"/>
          <w:highlight w:val="none"/>
        </w:rPr>
      </w:pPr>
      <w:r>
        <w:rPr>
          <w:rFonts w:hint="eastAsia" w:ascii="宋体" w:hAnsi="宋体"/>
          <w:sz w:val="28"/>
          <w:szCs w:val="28"/>
          <w:highlight w:val="none"/>
        </w:rPr>
        <w:t>本办法自202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r>
        <w:rPr>
          <w:rFonts w:hint="eastAsia" w:ascii="宋体" w:hAnsi="宋体"/>
          <w:sz w:val="28"/>
          <w:szCs w:val="28"/>
          <w:highlight w:val="none"/>
          <w:lang w:val="en-US" w:eastAsia="zh-CN"/>
        </w:rPr>
        <w:t>3</w:t>
      </w:r>
      <w:r>
        <w:rPr>
          <w:rFonts w:hint="eastAsia" w:ascii="宋体" w:hAnsi="宋体"/>
          <w:sz w:val="28"/>
          <w:szCs w:val="28"/>
          <w:highlight w:val="none"/>
        </w:rPr>
        <w:t>日起施行。</w:t>
      </w:r>
    </w:p>
    <w:p>
      <w:pPr>
        <w:numPr>
          <w:ilvl w:val="0"/>
          <w:numId w:val="0"/>
        </w:numPr>
        <w:tabs>
          <w:tab w:val="left" w:pos="1620"/>
          <w:tab w:val="left" w:pos="1800"/>
        </w:tabs>
        <w:spacing w:line="360" w:lineRule="auto"/>
        <w:ind w:leftChars="200"/>
        <w:rPr>
          <w:rFonts w:hint="eastAsia" w:ascii="宋体" w:hAnsi="宋体"/>
          <w:sz w:val="28"/>
          <w:szCs w:val="28"/>
        </w:rPr>
      </w:pPr>
    </w:p>
    <w:p>
      <w:pPr>
        <w:rPr>
          <w:rFonts w:hint="eastAsia" w:ascii="黑体" w:hAnsi="黑体" w:eastAsia="黑体" w:cs="黑体"/>
          <w:sz w:val="32"/>
          <w:szCs w:val="32"/>
          <w:highlight w:val="none"/>
          <w:lang w:val="en-US" w:eastAsia="zh-CN"/>
        </w:rPr>
      </w:pPr>
    </w:p>
    <w:p>
      <w:pPr>
        <w:rPr>
          <w:rFonts w:hint="default" w:ascii="黑体" w:hAnsi="黑体" w:eastAsia="黑体" w:cs="黑体"/>
          <w:sz w:val="32"/>
          <w:szCs w:val="32"/>
          <w:highlight w:val="none"/>
          <w:lang w:val="en-US" w:eastAsia="zh-CN"/>
        </w:rPr>
      </w:pPr>
    </w:p>
    <w:p>
      <w:pPr>
        <w:rPr>
          <w:rFonts w:ascii="仿宋" w:hAnsi="仿宋" w:eastAsia="仿宋"/>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p>
    <w:p>
      <w:pPr>
        <w:rPr>
          <w:rFonts w:ascii="仿宋" w:hAnsi="仿宋" w:eastAsia="仿宋"/>
          <w:spacing w:val="-6"/>
          <w:sz w:val="32"/>
        </w:rPr>
      </w:pPr>
      <w:bookmarkStart w:id="32" w:name="_GoBack"/>
      <w:bookmarkEnd w:id="32"/>
    </w:p>
    <w:sectPr>
      <w:footerReference r:id="rId3" w:type="default"/>
      <w:footerReference r:id="rId4" w:type="even"/>
      <w:pgSz w:w="11906" w:h="16838"/>
      <w:pgMar w:top="1440" w:right="1797" w:bottom="1440" w:left="1797" w:header="851"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sz w:val="28"/>
      </w:rP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2</w:t>
    </w:r>
    <w:r>
      <w:rPr>
        <w:rStyle w:val="11"/>
        <w:sz w:val="28"/>
      </w:rPr>
      <w:fldChar w:fldCharType="end"/>
    </w:r>
    <w:r>
      <w:rPr>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E66AC"/>
    <w:multiLevelType w:val="multilevel"/>
    <w:tmpl w:val="7A4E66AC"/>
    <w:lvl w:ilvl="0" w:tentative="0">
      <w:start w:val="1"/>
      <w:numFmt w:val="chineseCountingThousand"/>
      <w:suff w:val="space"/>
      <w:lvlText w:val="第%1条"/>
      <w:lvlJc w:val="left"/>
      <w:pPr>
        <w:ind w:left="5240" w:hanging="420"/>
      </w:pPr>
      <w:rPr>
        <w:rFonts w:hint="eastAsia" w:ascii="黑体" w:hAnsi="黑体" w:eastAsia="黑体"/>
        <w:b w:val="0"/>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E334616"/>
    <w:multiLevelType w:val="multilevel"/>
    <w:tmpl w:val="7E334616"/>
    <w:lvl w:ilvl="0" w:tentative="0">
      <w:start w:val="1"/>
      <w:numFmt w:val="japaneseCounting"/>
      <w:lvlText w:val="第%1章"/>
      <w:lvlJc w:val="left"/>
      <w:pPr>
        <w:ind w:left="108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24146"/>
    <w:rsid w:val="000003DC"/>
    <w:rsid w:val="000014F8"/>
    <w:rsid w:val="00002A40"/>
    <w:rsid w:val="00002BEB"/>
    <w:rsid w:val="00002E26"/>
    <w:rsid w:val="00004296"/>
    <w:rsid w:val="00004C6F"/>
    <w:rsid w:val="00004EB1"/>
    <w:rsid w:val="00005702"/>
    <w:rsid w:val="00005E01"/>
    <w:rsid w:val="000073AA"/>
    <w:rsid w:val="00011183"/>
    <w:rsid w:val="00012607"/>
    <w:rsid w:val="0001260C"/>
    <w:rsid w:val="00014A55"/>
    <w:rsid w:val="000169B4"/>
    <w:rsid w:val="0002049C"/>
    <w:rsid w:val="000242DE"/>
    <w:rsid w:val="00025C3E"/>
    <w:rsid w:val="0002676C"/>
    <w:rsid w:val="00026C87"/>
    <w:rsid w:val="00027299"/>
    <w:rsid w:val="00030567"/>
    <w:rsid w:val="000329D1"/>
    <w:rsid w:val="0003324C"/>
    <w:rsid w:val="00034F86"/>
    <w:rsid w:val="00036407"/>
    <w:rsid w:val="00040E90"/>
    <w:rsid w:val="00044139"/>
    <w:rsid w:val="0005173D"/>
    <w:rsid w:val="0005205B"/>
    <w:rsid w:val="00052C5E"/>
    <w:rsid w:val="0005492E"/>
    <w:rsid w:val="00056C26"/>
    <w:rsid w:val="00056C29"/>
    <w:rsid w:val="000608B0"/>
    <w:rsid w:val="000617CC"/>
    <w:rsid w:val="00061A4A"/>
    <w:rsid w:val="00063F3D"/>
    <w:rsid w:val="0006518A"/>
    <w:rsid w:val="00066451"/>
    <w:rsid w:val="0006663E"/>
    <w:rsid w:val="00067B6F"/>
    <w:rsid w:val="00067BE9"/>
    <w:rsid w:val="00074328"/>
    <w:rsid w:val="000754DD"/>
    <w:rsid w:val="00081302"/>
    <w:rsid w:val="00081F28"/>
    <w:rsid w:val="000820C9"/>
    <w:rsid w:val="00082102"/>
    <w:rsid w:val="00082D2E"/>
    <w:rsid w:val="0008334C"/>
    <w:rsid w:val="0008416A"/>
    <w:rsid w:val="00085DE8"/>
    <w:rsid w:val="0008631D"/>
    <w:rsid w:val="000900EC"/>
    <w:rsid w:val="000901D1"/>
    <w:rsid w:val="00094CFF"/>
    <w:rsid w:val="000967AC"/>
    <w:rsid w:val="00097D09"/>
    <w:rsid w:val="000A140C"/>
    <w:rsid w:val="000A4149"/>
    <w:rsid w:val="000A5168"/>
    <w:rsid w:val="000A5A3D"/>
    <w:rsid w:val="000B1E3C"/>
    <w:rsid w:val="000B31FF"/>
    <w:rsid w:val="000B3E74"/>
    <w:rsid w:val="000B4606"/>
    <w:rsid w:val="000B5091"/>
    <w:rsid w:val="000B5688"/>
    <w:rsid w:val="000B7916"/>
    <w:rsid w:val="000B7F13"/>
    <w:rsid w:val="000C172F"/>
    <w:rsid w:val="000C3315"/>
    <w:rsid w:val="000C356C"/>
    <w:rsid w:val="000C3737"/>
    <w:rsid w:val="000C3CDA"/>
    <w:rsid w:val="000C4C59"/>
    <w:rsid w:val="000D0540"/>
    <w:rsid w:val="000D606B"/>
    <w:rsid w:val="000E0627"/>
    <w:rsid w:val="000E06FA"/>
    <w:rsid w:val="000E5475"/>
    <w:rsid w:val="000E67A8"/>
    <w:rsid w:val="000E76FB"/>
    <w:rsid w:val="000F23E7"/>
    <w:rsid w:val="000F29FC"/>
    <w:rsid w:val="000F2DBF"/>
    <w:rsid w:val="000F40AA"/>
    <w:rsid w:val="001033A4"/>
    <w:rsid w:val="001062DA"/>
    <w:rsid w:val="001065BE"/>
    <w:rsid w:val="001077B5"/>
    <w:rsid w:val="00110A8C"/>
    <w:rsid w:val="00110E85"/>
    <w:rsid w:val="00110E86"/>
    <w:rsid w:val="001213D3"/>
    <w:rsid w:val="0012151D"/>
    <w:rsid w:val="001228B3"/>
    <w:rsid w:val="00123B67"/>
    <w:rsid w:val="00124271"/>
    <w:rsid w:val="00125339"/>
    <w:rsid w:val="00127039"/>
    <w:rsid w:val="001314E3"/>
    <w:rsid w:val="00133D3D"/>
    <w:rsid w:val="00136D74"/>
    <w:rsid w:val="00137D11"/>
    <w:rsid w:val="00140916"/>
    <w:rsid w:val="001409DF"/>
    <w:rsid w:val="001412CA"/>
    <w:rsid w:val="001433B9"/>
    <w:rsid w:val="00143967"/>
    <w:rsid w:val="00143D92"/>
    <w:rsid w:val="001441F8"/>
    <w:rsid w:val="001447A0"/>
    <w:rsid w:val="0014593B"/>
    <w:rsid w:val="0014676B"/>
    <w:rsid w:val="00147675"/>
    <w:rsid w:val="00151823"/>
    <w:rsid w:val="00153C74"/>
    <w:rsid w:val="00154105"/>
    <w:rsid w:val="00156318"/>
    <w:rsid w:val="00162E48"/>
    <w:rsid w:val="00163045"/>
    <w:rsid w:val="00163388"/>
    <w:rsid w:val="00163ECE"/>
    <w:rsid w:val="00164038"/>
    <w:rsid w:val="00164B62"/>
    <w:rsid w:val="00164F46"/>
    <w:rsid w:val="00171E7C"/>
    <w:rsid w:val="00171F06"/>
    <w:rsid w:val="0017384B"/>
    <w:rsid w:val="001749E5"/>
    <w:rsid w:val="00176367"/>
    <w:rsid w:val="00176437"/>
    <w:rsid w:val="00180471"/>
    <w:rsid w:val="00181992"/>
    <w:rsid w:val="00181DFD"/>
    <w:rsid w:val="0018239C"/>
    <w:rsid w:val="001861A4"/>
    <w:rsid w:val="001862D9"/>
    <w:rsid w:val="00190EE2"/>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973"/>
    <w:rsid w:val="001C1EBD"/>
    <w:rsid w:val="001C37A9"/>
    <w:rsid w:val="001C4BA8"/>
    <w:rsid w:val="001C4E7B"/>
    <w:rsid w:val="001C5426"/>
    <w:rsid w:val="001C5CE6"/>
    <w:rsid w:val="001C7403"/>
    <w:rsid w:val="001D3188"/>
    <w:rsid w:val="001D33B7"/>
    <w:rsid w:val="001D6F9A"/>
    <w:rsid w:val="001D73CB"/>
    <w:rsid w:val="001E18EE"/>
    <w:rsid w:val="001E18F9"/>
    <w:rsid w:val="001E366C"/>
    <w:rsid w:val="001E451A"/>
    <w:rsid w:val="001E4DE0"/>
    <w:rsid w:val="001E4FD8"/>
    <w:rsid w:val="001E66F0"/>
    <w:rsid w:val="001F04EB"/>
    <w:rsid w:val="001F261A"/>
    <w:rsid w:val="001F273A"/>
    <w:rsid w:val="001F39F7"/>
    <w:rsid w:val="001F3D02"/>
    <w:rsid w:val="001F4C5C"/>
    <w:rsid w:val="001F52D8"/>
    <w:rsid w:val="001F5336"/>
    <w:rsid w:val="001F65F6"/>
    <w:rsid w:val="001F7336"/>
    <w:rsid w:val="001F7DEE"/>
    <w:rsid w:val="002027A7"/>
    <w:rsid w:val="002030EA"/>
    <w:rsid w:val="002064B3"/>
    <w:rsid w:val="0021318F"/>
    <w:rsid w:val="00213A1D"/>
    <w:rsid w:val="00215DED"/>
    <w:rsid w:val="002203D1"/>
    <w:rsid w:val="0022053E"/>
    <w:rsid w:val="002205AB"/>
    <w:rsid w:val="0022195F"/>
    <w:rsid w:val="0022333C"/>
    <w:rsid w:val="00223499"/>
    <w:rsid w:val="00225630"/>
    <w:rsid w:val="002265F2"/>
    <w:rsid w:val="00227684"/>
    <w:rsid w:val="00227B57"/>
    <w:rsid w:val="002308AD"/>
    <w:rsid w:val="00230BBB"/>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20CF"/>
    <w:rsid w:val="0025352C"/>
    <w:rsid w:val="00253770"/>
    <w:rsid w:val="002548CD"/>
    <w:rsid w:val="00257D88"/>
    <w:rsid w:val="0026069B"/>
    <w:rsid w:val="00264F33"/>
    <w:rsid w:val="002658FB"/>
    <w:rsid w:val="002669A1"/>
    <w:rsid w:val="00267DAA"/>
    <w:rsid w:val="00270AE1"/>
    <w:rsid w:val="002719A7"/>
    <w:rsid w:val="002735CC"/>
    <w:rsid w:val="0028016B"/>
    <w:rsid w:val="00280F80"/>
    <w:rsid w:val="00281DBB"/>
    <w:rsid w:val="002829F2"/>
    <w:rsid w:val="0028462F"/>
    <w:rsid w:val="00286088"/>
    <w:rsid w:val="00287836"/>
    <w:rsid w:val="00287BED"/>
    <w:rsid w:val="00291BA0"/>
    <w:rsid w:val="00291E6A"/>
    <w:rsid w:val="002953EA"/>
    <w:rsid w:val="00297E3F"/>
    <w:rsid w:val="002A08CD"/>
    <w:rsid w:val="002A0A8F"/>
    <w:rsid w:val="002A2D8E"/>
    <w:rsid w:val="002A3208"/>
    <w:rsid w:val="002A7323"/>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18E0"/>
    <w:rsid w:val="002D4C09"/>
    <w:rsid w:val="002D5C89"/>
    <w:rsid w:val="002D65E5"/>
    <w:rsid w:val="002D6773"/>
    <w:rsid w:val="002E1A35"/>
    <w:rsid w:val="002E3400"/>
    <w:rsid w:val="002E39C3"/>
    <w:rsid w:val="002E39F5"/>
    <w:rsid w:val="002E481D"/>
    <w:rsid w:val="002E7A81"/>
    <w:rsid w:val="002F05FB"/>
    <w:rsid w:val="002F1A51"/>
    <w:rsid w:val="002F1A8D"/>
    <w:rsid w:val="002F4C97"/>
    <w:rsid w:val="002F5419"/>
    <w:rsid w:val="0030292D"/>
    <w:rsid w:val="00303B0A"/>
    <w:rsid w:val="00303FBB"/>
    <w:rsid w:val="00306EBE"/>
    <w:rsid w:val="0031001B"/>
    <w:rsid w:val="00312BA8"/>
    <w:rsid w:val="003149DA"/>
    <w:rsid w:val="00317E1B"/>
    <w:rsid w:val="00321B8F"/>
    <w:rsid w:val="00321C8E"/>
    <w:rsid w:val="003223F2"/>
    <w:rsid w:val="003226A6"/>
    <w:rsid w:val="003231B1"/>
    <w:rsid w:val="0032481B"/>
    <w:rsid w:val="003273C2"/>
    <w:rsid w:val="003301BB"/>
    <w:rsid w:val="003314C9"/>
    <w:rsid w:val="00333080"/>
    <w:rsid w:val="00335072"/>
    <w:rsid w:val="00335E82"/>
    <w:rsid w:val="00336655"/>
    <w:rsid w:val="0033681A"/>
    <w:rsid w:val="00340820"/>
    <w:rsid w:val="00344236"/>
    <w:rsid w:val="00344F8F"/>
    <w:rsid w:val="003461AD"/>
    <w:rsid w:val="00347FB0"/>
    <w:rsid w:val="00350091"/>
    <w:rsid w:val="00352A3F"/>
    <w:rsid w:val="003561DD"/>
    <w:rsid w:val="003602CA"/>
    <w:rsid w:val="003627A4"/>
    <w:rsid w:val="00362860"/>
    <w:rsid w:val="0036356D"/>
    <w:rsid w:val="00364976"/>
    <w:rsid w:val="00365F05"/>
    <w:rsid w:val="0037359E"/>
    <w:rsid w:val="0037586C"/>
    <w:rsid w:val="0037605A"/>
    <w:rsid w:val="00377265"/>
    <w:rsid w:val="003801B1"/>
    <w:rsid w:val="00381368"/>
    <w:rsid w:val="00382985"/>
    <w:rsid w:val="003849B5"/>
    <w:rsid w:val="00384FA8"/>
    <w:rsid w:val="00386551"/>
    <w:rsid w:val="00390ABB"/>
    <w:rsid w:val="003913E8"/>
    <w:rsid w:val="00392985"/>
    <w:rsid w:val="003930F1"/>
    <w:rsid w:val="00393181"/>
    <w:rsid w:val="00395343"/>
    <w:rsid w:val="003967D5"/>
    <w:rsid w:val="003A133D"/>
    <w:rsid w:val="003A7001"/>
    <w:rsid w:val="003A748A"/>
    <w:rsid w:val="003A7807"/>
    <w:rsid w:val="003A7D1E"/>
    <w:rsid w:val="003B01E2"/>
    <w:rsid w:val="003B51C1"/>
    <w:rsid w:val="003B7506"/>
    <w:rsid w:val="003B7561"/>
    <w:rsid w:val="003B75E3"/>
    <w:rsid w:val="003B75EE"/>
    <w:rsid w:val="003C051B"/>
    <w:rsid w:val="003C1A4A"/>
    <w:rsid w:val="003C221D"/>
    <w:rsid w:val="003C2638"/>
    <w:rsid w:val="003C3470"/>
    <w:rsid w:val="003C4245"/>
    <w:rsid w:val="003C5A99"/>
    <w:rsid w:val="003D0613"/>
    <w:rsid w:val="003D0967"/>
    <w:rsid w:val="003D19D2"/>
    <w:rsid w:val="003D556B"/>
    <w:rsid w:val="003D55EF"/>
    <w:rsid w:val="003D5867"/>
    <w:rsid w:val="003D7F73"/>
    <w:rsid w:val="003E0362"/>
    <w:rsid w:val="003E1029"/>
    <w:rsid w:val="003E2FE4"/>
    <w:rsid w:val="003E3ED2"/>
    <w:rsid w:val="003E6C9F"/>
    <w:rsid w:val="003E73A5"/>
    <w:rsid w:val="003E7595"/>
    <w:rsid w:val="003E787F"/>
    <w:rsid w:val="003F01B2"/>
    <w:rsid w:val="003F0D09"/>
    <w:rsid w:val="003F4183"/>
    <w:rsid w:val="003F769A"/>
    <w:rsid w:val="003F7EF5"/>
    <w:rsid w:val="004018D9"/>
    <w:rsid w:val="00403A9B"/>
    <w:rsid w:val="00404591"/>
    <w:rsid w:val="00406F84"/>
    <w:rsid w:val="00407062"/>
    <w:rsid w:val="00410188"/>
    <w:rsid w:val="00410991"/>
    <w:rsid w:val="00411DB1"/>
    <w:rsid w:val="004126B3"/>
    <w:rsid w:val="00416877"/>
    <w:rsid w:val="00420973"/>
    <w:rsid w:val="00423667"/>
    <w:rsid w:val="00425A35"/>
    <w:rsid w:val="00426A35"/>
    <w:rsid w:val="0043178A"/>
    <w:rsid w:val="00433114"/>
    <w:rsid w:val="00433274"/>
    <w:rsid w:val="00433B15"/>
    <w:rsid w:val="004374B5"/>
    <w:rsid w:val="004408B1"/>
    <w:rsid w:val="00440D54"/>
    <w:rsid w:val="00440F13"/>
    <w:rsid w:val="004414FB"/>
    <w:rsid w:val="00442279"/>
    <w:rsid w:val="00444BEC"/>
    <w:rsid w:val="00444D7A"/>
    <w:rsid w:val="00446281"/>
    <w:rsid w:val="00446447"/>
    <w:rsid w:val="00446938"/>
    <w:rsid w:val="004473BE"/>
    <w:rsid w:val="0045364B"/>
    <w:rsid w:val="0046210E"/>
    <w:rsid w:val="00462A8C"/>
    <w:rsid w:val="00466AFC"/>
    <w:rsid w:val="00470443"/>
    <w:rsid w:val="00470D46"/>
    <w:rsid w:val="00473ED2"/>
    <w:rsid w:val="00474229"/>
    <w:rsid w:val="004801BA"/>
    <w:rsid w:val="004821A8"/>
    <w:rsid w:val="004821D3"/>
    <w:rsid w:val="004829A0"/>
    <w:rsid w:val="00486416"/>
    <w:rsid w:val="0049095F"/>
    <w:rsid w:val="00490F3B"/>
    <w:rsid w:val="00492DA4"/>
    <w:rsid w:val="00492DE1"/>
    <w:rsid w:val="0049421E"/>
    <w:rsid w:val="0049451D"/>
    <w:rsid w:val="00496FBD"/>
    <w:rsid w:val="00497FC8"/>
    <w:rsid w:val="004A089A"/>
    <w:rsid w:val="004A0F82"/>
    <w:rsid w:val="004A5508"/>
    <w:rsid w:val="004A59DC"/>
    <w:rsid w:val="004A627A"/>
    <w:rsid w:val="004B0CDC"/>
    <w:rsid w:val="004B0E10"/>
    <w:rsid w:val="004B164D"/>
    <w:rsid w:val="004B2684"/>
    <w:rsid w:val="004B39FE"/>
    <w:rsid w:val="004B4495"/>
    <w:rsid w:val="004B45F9"/>
    <w:rsid w:val="004B63B0"/>
    <w:rsid w:val="004C14F0"/>
    <w:rsid w:val="004C1BB7"/>
    <w:rsid w:val="004C23D2"/>
    <w:rsid w:val="004C3FD8"/>
    <w:rsid w:val="004C47BC"/>
    <w:rsid w:val="004C6E1A"/>
    <w:rsid w:val="004D0874"/>
    <w:rsid w:val="004D0C9D"/>
    <w:rsid w:val="004D0D5C"/>
    <w:rsid w:val="004D1EE3"/>
    <w:rsid w:val="004D2CD1"/>
    <w:rsid w:val="004D409A"/>
    <w:rsid w:val="004E1889"/>
    <w:rsid w:val="004E390F"/>
    <w:rsid w:val="004E5897"/>
    <w:rsid w:val="004E683C"/>
    <w:rsid w:val="004E7E37"/>
    <w:rsid w:val="004E7F35"/>
    <w:rsid w:val="004F0AD2"/>
    <w:rsid w:val="004F3A0C"/>
    <w:rsid w:val="004F5AB1"/>
    <w:rsid w:val="004F67B5"/>
    <w:rsid w:val="005001D1"/>
    <w:rsid w:val="00501C80"/>
    <w:rsid w:val="005046CA"/>
    <w:rsid w:val="005048F5"/>
    <w:rsid w:val="00504FC1"/>
    <w:rsid w:val="00505011"/>
    <w:rsid w:val="00505EDB"/>
    <w:rsid w:val="00507749"/>
    <w:rsid w:val="00507CE6"/>
    <w:rsid w:val="00507D2B"/>
    <w:rsid w:val="00511586"/>
    <w:rsid w:val="0051381C"/>
    <w:rsid w:val="00514116"/>
    <w:rsid w:val="005153FE"/>
    <w:rsid w:val="0052702A"/>
    <w:rsid w:val="00530165"/>
    <w:rsid w:val="00535129"/>
    <w:rsid w:val="005379F1"/>
    <w:rsid w:val="00540AA8"/>
    <w:rsid w:val="00541F96"/>
    <w:rsid w:val="00542C13"/>
    <w:rsid w:val="00543AC5"/>
    <w:rsid w:val="00545CBA"/>
    <w:rsid w:val="00546229"/>
    <w:rsid w:val="00546406"/>
    <w:rsid w:val="00550E30"/>
    <w:rsid w:val="00551A87"/>
    <w:rsid w:val="00551C0C"/>
    <w:rsid w:val="00554132"/>
    <w:rsid w:val="0055488E"/>
    <w:rsid w:val="00554FF2"/>
    <w:rsid w:val="0055541A"/>
    <w:rsid w:val="00556447"/>
    <w:rsid w:val="005621AA"/>
    <w:rsid w:val="005628BD"/>
    <w:rsid w:val="00563C76"/>
    <w:rsid w:val="00564C50"/>
    <w:rsid w:val="005668E5"/>
    <w:rsid w:val="00566CC1"/>
    <w:rsid w:val="00567284"/>
    <w:rsid w:val="00570705"/>
    <w:rsid w:val="00571B6C"/>
    <w:rsid w:val="005729DA"/>
    <w:rsid w:val="00574D60"/>
    <w:rsid w:val="005819FD"/>
    <w:rsid w:val="00581D48"/>
    <w:rsid w:val="00583F73"/>
    <w:rsid w:val="005846F6"/>
    <w:rsid w:val="0058594A"/>
    <w:rsid w:val="0059177F"/>
    <w:rsid w:val="00592AEE"/>
    <w:rsid w:val="00592EA1"/>
    <w:rsid w:val="00593014"/>
    <w:rsid w:val="0059455E"/>
    <w:rsid w:val="0059464C"/>
    <w:rsid w:val="00595D4E"/>
    <w:rsid w:val="005A1D09"/>
    <w:rsid w:val="005A50CF"/>
    <w:rsid w:val="005A6A99"/>
    <w:rsid w:val="005B0920"/>
    <w:rsid w:val="005B1FA4"/>
    <w:rsid w:val="005B2CFA"/>
    <w:rsid w:val="005B3EB0"/>
    <w:rsid w:val="005B4FEC"/>
    <w:rsid w:val="005B543A"/>
    <w:rsid w:val="005B5660"/>
    <w:rsid w:val="005B59CF"/>
    <w:rsid w:val="005B6DD9"/>
    <w:rsid w:val="005C02E0"/>
    <w:rsid w:val="005C04FC"/>
    <w:rsid w:val="005C0873"/>
    <w:rsid w:val="005C19CA"/>
    <w:rsid w:val="005C2E57"/>
    <w:rsid w:val="005C5072"/>
    <w:rsid w:val="005D1EB0"/>
    <w:rsid w:val="005D3662"/>
    <w:rsid w:val="005D514A"/>
    <w:rsid w:val="005D5928"/>
    <w:rsid w:val="005D592A"/>
    <w:rsid w:val="005D6191"/>
    <w:rsid w:val="005D6E7E"/>
    <w:rsid w:val="005D7939"/>
    <w:rsid w:val="005E0426"/>
    <w:rsid w:val="005E0D26"/>
    <w:rsid w:val="005E3374"/>
    <w:rsid w:val="005E3E96"/>
    <w:rsid w:val="005E5956"/>
    <w:rsid w:val="005E5BC9"/>
    <w:rsid w:val="005F12E8"/>
    <w:rsid w:val="005F21B2"/>
    <w:rsid w:val="005F4FB5"/>
    <w:rsid w:val="005F6138"/>
    <w:rsid w:val="005F713B"/>
    <w:rsid w:val="005F7E81"/>
    <w:rsid w:val="00601454"/>
    <w:rsid w:val="00602ADC"/>
    <w:rsid w:val="00603D6E"/>
    <w:rsid w:val="00604BB9"/>
    <w:rsid w:val="00606801"/>
    <w:rsid w:val="00607C2B"/>
    <w:rsid w:val="00607DBD"/>
    <w:rsid w:val="00610591"/>
    <w:rsid w:val="00611DD7"/>
    <w:rsid w:val="00613D08"/>
    <w:rsid w:val="0061555B"/>
    <w:rsid w:val="00617CB2"/>
    <w:rsid w:val="00620DF9"/>
    <w:rsid w:val="00621317"/>
    <w:rsid w:val="00623308"/>
    <w:rsid w:val="006248CD"/>
    <w:rsid w:val="00624A63"/>
    <w:rsid w:val="00625B3C"/>
    <w:rsid w:val="0062699B"/>
    <w:rsid w:val="00630498"/>
    <w:rsid w:val="006313FE"/>
    <w:rsid w:val="006314E1"/>
    <w:rsid w:val="006328C3"/>
    <w:rsid w:val="00632F5E"/>
    <w:rsid w:val="00633E7F"/>
    <w:rsid w:val="0063717C"/>
    <w:rsid w:val="00640929"/>
    <w:rsid w:val="00641386"/>
    <w:rsid w:val="00641C5C"/>
    <w:rsid w:val="00642D37"/>
    <w:rsid w:val="00642E46"/>
    <w:rsid w:val="00644D4D"/>
    <w:rsid w:val="00645213"/>
    <w:rsid w:val="006474F9"/>
    <w:rsid w:val="0065129A"/>
    <w:rsid w:val="00651AEC"/>
    <w:rsid w:val="00651D9C"/>
    <w:rsid w:val="00652D9B"/>
    <w:rsid w:val="00653B1E"/>
    <w:rsid w:val="00653EDC"/>
    <w:rsid w:val="00654E70"/>
    <w:rsid w:val="00655591"/>
    <w:rsid w:val="006562F6"/>
    <w:rsid w:val="00660A2F"/>
    <w:rsid w:val="00660B6E"/>
    <w:rsid w:val="0066166E"/>
    <w:rsid w:val="006627B1"/>
    <w:rsid w:val="00663022"/>
    <w:rsid w:val="0066351A"/>
    <w:rsid w:val="00665C44"/>
    <w:rsid w:val="00665DDA"/>
    <w:rsid w:val="006703FE"/>
    <w:rsid w:val="00670F02"/>
    <w:rsid w:val="0067102D"/>
    <w:rsid w:val="0067266B"/>
    <w:rsid w:val="00673F4C"/>
    <w:rsid w:val="006742EA"/>
    <w:rsid w:val="00674913"/>
    <w:rsid w:val="00674E39"/>
    <w:rsid w:val="00675C82"/>
    <w:rsid w:val="00677267"/>
    <w:rsid w:val="0068138E"/>
    <w:rsid w:val="00684780"/>
    <w:rsid w:val="00685E2A"/>
    <w:rsid w:val="00686E1A"/>
    <w:rsid w:val="0069003D"/>
    <w:rsid w:val="0069003F"/>
    <w:rsid w:val="00692E94"/>
    <w:rsid w:val="006969B9"/>
    <w:rsid w:val="006A0F09"/>
    <w:rsid w:val="006A1AEA"/>
    <w:rsid w:val="006A2176"/>
    <w:rsid w:val="006A3A0A"/>
    <w:rsid w:val="006A5EA4"/>
    <w:rsid w:val="006A6DE3"/>
    <w:rsid w:val="006A7851"/>
    <w:rsid w:val="006A7EA8"/>
    <w:rsid w:val="006B0ACE"/>
    <w:rsid w:val="006B2BDD"/>
    <w:rsid w:val="006C02A5"/>
    <w:rsid w:val="006C0447"/>
    <w:rsid w:val="006C203E"/>
    <w:rsid w:val="006C38A4"/>
    <w:rsid w:val="006C49FD"/>
    <w:rsid w:val="006C4B97"/>
    <w:rsid w:val="006C50CD"/>
    <w:rsid w:val="006C6454"/>
    <w:rsid w:val="006C7AC8"/>
    <w:rsid w:val="006D149C"/>
    <w:rsid w:val="006D1EA3"/>
    <w:rsid w:val="006D3857"/>
    <w:rsid w:val="006D4925"/>
    <w:rsid w:val="006D569A"/>
    <w:rsid w:val="006D6219"/>
    <w:rsid w:val="006E31D8"/>
    <w:rsid w:val="006E6A2A"/>
    <w:rsid w:val="006E7EF6"/>
    <w:rsid w:val="006F0484"/>
    <w:rsid w:val="006F080C"/>
    <w:rsid w:val="006F1359"/>
    <w:rsid w:val="006F1E58"/>
    <w:rsid w:val="006F23CB"/>
    <w:rsid w:val="006F48E3"/>
    <w:rsid w:val="006F52E3"/>
    <w:rsid w:val="006F7338"/>
    <w:rsid w:val="006F74A2"/>
    <w:rsid w:val="00700211"/>
    <w:rsid w:val="007011FA"/>
    <w:rsid w:val="00703268"/>
    <w:rsid w:val="0070466B"/>
    <w:rsid w:val="00704C41"/>
    <w:rsid w:val="00705B6C"/>
    <w:rsid w:val="0071126F"/>
    <w:rsid w:val="00713696"/>
    <w:rsid w:val="00716716"/>
    <w:rsid w:val="007174FB"/>
    <w:rsid w:val="0072193C"/>
    <w:rsid w:val="00722195"/>
    <w:rsid w:val="00722DF3"/>
    <w:rsid w:val="0072337C"/>
    <w:rsid w:val="00725DC9"/>
    <w:rsid w:val="00733F45"/>
    <w:rsid w:val="007353B7"/>
    <w:rsid w:val="007401A6"/>
    <w:rsid w:val="007411E7"/>
    <w:rsid w:val="007421F7"/>
    <w:rsid w:val="00743992"/>
    <w:rsid w:val="00744643"/>
    <w:rsid w:val="00746E50"/>
    <w:rsid w:val="00753B62"/>
    <w:rsid w:val="00756541"/>
    <w:rsid w:val="007577C1"/>
    <w:rsid w:val="00762951"/>
    <w:rsid w:val="00762D59"/>
    <w:rsid w:val="00764E4E"/>
    <w:rsid w:val="00767AB0"/>
    <w:rsid w:val="00767CFD"/>
    <w:rsid w:val="00767F64"/>
    <w:rsid w:val="00770243"/>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68B2"/>
    <w:rsid w:val="007969D1"/>
    <w:rsid w:val="00797651"/>
    <w:rsid w:val="007A1C3A"/>
    <w:rsid w:val="007A70CF"/>
    <w:rsid w:val="007A7856"/>
    <w:rsid w:val="007B045B"/>
    <w:rsid w:val="007B0AAD"/>
    <w:rsid w:val="007B0F2F"/>
    <w:rsid w:val="007B225A"/>
    <w:rsid w:val="007B3428"/>
    <w:rsid w:val="007B3443"/>
    <w:rsid w:val="007B6913"/>
    <w:rsid w:val="007B74D2"/>
    <w:rsid w:val="007B7CB6"/>
    <w:rsid w:val="007C0A55"/>
    <w:rsid w:val="007C406F"/>
    <w:rsid w:val="007C41F5"/>
    <w:rsid w:val="007C44FF"/>
    <w:rsid w:val="007D0291"/>
    <w:rsid w:val="007D117D"/>
    <w:rsid w:val="007D50B2"/>
    <w:rsid w:val="007E1202"/>
    <w:rsid w:val="007E1648"/>
    <w:rsid w:val="007E1CF4"/>
    <w:rsid w:val="007E4F5C"/>
    <w:rsid w:val="007E7979"/>
    <w:rsid w:val="007F0B9C"/>
    <w:rsid w:val="007F107A"/>
    <w:rsid w:val="007F12DF"/>
    <w:rsid w:val="007F25BD"/>
    <w:rsid w:val="007F47CF"/>
    <w:rsid w:val="007F5054"/>
    <w:rsid w:val="00801505"/>
    <w:rsid w:val="008041DD"/>
    <w:rsid w:val="0080452C"/>
    <w:rsid w:val="00805924"/>
    <w:rsid w:val="008079BF"/>
    <w:rsid w:val="00807B60"/>
    <w:rsid w:val="00807C11"/>
    <w:rsid w:val="008105F4"/>
    <w:rsid w:val="008119D8"/>
    <w:rsid w:val="00811E93"/>
    <w:rsid w:val="008125CE"/>
    <w:rsid w:val="008146E6"/>
    <w:rsid w:val="00814C5F"/>
    <w:rsid w:val="008251A9"/>
    <w:rsid w:val="008332E6"/>
    <w:rsid w:val="0083409E"/>
    <w:rsid w:val="008347C5"/>
    <w:rsid w:val="008353DC"/>
    <w:rsid w:val="00835DF3"/>
    <w:rsid w:val="00840C50"/>
    <w:rsid w:val="00842221"/>
    <w:rsid w:val="00843C4D"/>
    <w:rsid w:val="008455D2"/>
    <w:rsid w:val="0085191E"/>
    <w:rsid w:val="0085280D"/>
    <w:rsid w:val="00852862"/>
    <w:rsid w:val="00852DEC"/>
    <w:rsid w:val="00854C4A"/>
    <w:rsid w:val="00855939"/>
    <w:rsid w:val="00855A48"/>
    <w:rsid w:val="00857098"/>
    <w:rsid w:val="00857D9B"/>
    <w:rsid w:val="00860824"/>
    <w:rsid w:val="0086088F"/>
    <w:rsid w:val="00860F09"/>
    <w:rsid w:val="00862247"/>
    <w:rsid w:val="0086374F"/>
    <w:rsid w:val="0086458C"/>
    <w:rsid w:val="00865982"/>
    <w:rsid w:val="0086733F"/>
    <w:rsid w:val="008677F8"/>
    <w:rsid w:val="0087311C"/>
    <w:rsid w:val="0087312B"/>
    <w:rsid w:val="00877623"/>
    <w:rsid w:val="00880FE3"/>
    <w:rsid w:val="00882998"/>
    <w:rsid w:val="00885AF3"/>
    <w:rsid w:val="008861DB"/>
    <w:rsid w:val="00887BC0"/>
    <w:rsid w:val="00890E4E"/>
    <w:rsid w:val="0089125A"/>
    <w:rsid w:val="00892CEA"/>
    <w:rsid w:val="00893FA5"/>
    <w:rsid w:val="00895ED3"/>
    <w:rsid w:val="00896A7D"/>
    <w:rsid w:val="00896D80"/>
    <w:rsid w:val="00896F45"/>
    <w:rsid w:val="008975C2"/>
    <w:rsid w:val="00897F0A"/>
    <w:rsid w:val="008A29C6"/>
    <w:rsid w:val="008A3724"/>
    <w:rsid w:val="008A37A0"/>
    <w:rsid w:val="008A3D86"/>
    <w:rsid w:val="008A4369"/>
    <w:rsid w:val="008A66DA"/>
    <w:rsid w:val="008A6A41"/>
    <w:rsid w:val="008A7137"/>
    <w:rsid w:val="008A73A6"/>
    <w:rsid w:val="008A752D"/>
    <w:rsid w:val="008B108E"/>
    <w:rsid w:val="008B2163"/>
    <w:rsid w:val="008B3CAF"/>
    <w:rsid w:val="008B4109"/>
    <w:rsid w:val="008B44D1"/>
    <w:rsid w:val="008B58D3"/>
    <w:rsid w:val="008B666D"/>
    <w:rsid w:val="008C4D65"/>
    <w:rsid w:val="008C5808"/>
    <w:rsid w:val="008C6277"/>
    <w:rsid w:val="008C686F"/>
    <w:rsid w:val="008C69E6"/>
    <w:rsid w:val="008C791C"/>
    <w:rsid w:val="008C79E3"/>
    <w:rsid w:val="008C7A2C"/>
    <w:rsid w:val="008D23FE"/>
    <w:rsid w:val="008D6A30"/>
    <w:rsid w:val="008D7E6C"/>
    <w:rsid w:val="008D7F8E"/>
    <w:rsid w:val="008E1CF1"/>
    <w:rsid w:val="008E4864"/>
    <w:rsid w:val="008E4EC9"/>
    <w:rsid w:val="008E5280"/>
    <w:rsid w:val="008F194F"/>
    <w:rsid w:val="008F23BA"/>
    <w:rsid w:val="008F2868"/>
    <w:rsid w:val="008F707F"/>
    <w:rsid w:val="008F7AF0"/>
    <w:rsid w:val="00907630"/>
    <w:rsid w:val="00907746"/>
    <w:rsid w:val="00907C21"/>
    <w:rsid w:val="00912290"/>
    <w:rsid w:val="009179C7"/>
    <w:rsid w:val="00922713"/>
    <w:rsid w:val="0092514C"/>
    <w:rsid w:val="00925743"/>
    <w:rsid w:val="00926249"/>
    <w:rsid w:val="009267BE"/>
    <w:rsid w:val="00927B12"/>
    <w:rsid w:val="00927DD5"/>
    <w:rsid w:val="00933314"/>
    <w:rsid w:val="00935873"/>
    <w:rsid w:val="00935C78"/>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283C"/>
    <w:rsid w:val="00953FE9"/>
    <w:rsid w:val="00967314"/>
    <w:rsid w:val="00967401"/>
    <w:rsid w:val="00967C83"/>
    <w:rsid w:val="009700D9"/>
    <w:rsid w:val="00975B60"/>
    <w:rsid w:val="009773DF"/>
    <w:rsid w:val="00977777"/>
    <w:rsid w:val="00983412"/>
    <w:rsid w:val="00983BF7"/>
    <w:rsid w:val="00985E9D"/>
    <w:rsid w:val="00987CD9"/>
    <w:rsid w:val="0099036A"/>
    <w:rsid w:val="00990981"/>
    <w:rsid w:val="00991648"/>
    <w:rsid w:val="00992245"/>
    <w:rsid w:val="009A2431"/>
    <w:rsid w:val="009A3D9F"/>
    <w:rsid w:val="009A707D"/>
    <w:rsid w:val="009A79B7"/>
    <w:rsid w:val="009B0EFA"/>
    <w:rsid w:val="009B1069"/>
    <w:rsid w:val="009B1625"/>
    <w:rsid w:val="009B35A4"/>
    <w:rsid w:val="009B414D"/>
    <w:rsid w:val="009B6E50"/>
    <w:rsid w:val="009C19F3"/>
    <w:rsid w:val="009C1C67"/>
    <w:rsid w:val="009C5B82"/>
    <w:rsid w:val="009C787A"/>
    <w:rsid w:val="009C7BAB"/>
    <w:rsid w:val="009D1570"/>
    <w:rsid w:val="009D2E15"/>
    <w:rsid w:val="009D3D00"/>
    <w:rsid w:val="009D433B"/>
    <w:rsid w:val="009D45FF"/>
    <w:rsid w:val="009E0A2C"/>
    <w:rsid w:val="009E1660"/>
    <w:rsid w:val="009E1A47"/>
    <w:rsid w:val="009E2FE7"/>
    <w:rsid w:val="009E4DFE"/>
    <w:rsid w:val="009F1B63"/>
    <w:rsid w:val="009F42EE"/>
    <w:rsid w:val="009F6A61"/>
    <w:rsid w:val="00A01A63"/>
    <w:rsid w:val="00A03706"/>
    <w:rsid w:val="00A03D5B"/>
    <w:rsid w:val="00A05EE7"/>
    <w:rsid w:val="00A10A72"/>
    <w:rsid w:val="00A1115B"/>
    <w:rsid w:val="00A1204A"/>
    <w:rsid w:val="00A12080"/>
    <w:rsid w:val="00A152FF"/>
    <w:rsid w:val="00A16314"/>
    <w:rsid w:val="00A216CB"/>
    <w:rsid w:val="00A21917"/>
    <w:rsid w:val="00A220C3"/>
    <w:rsid w:val="00A22A2E"/>
    <w:rsid w:val="00A22BFF"/>
    <w:rsid w:val="00A232D8"/>
    <w:rsid w:val="00A2404E"/>
    <w:rsid w:val="00A26387"/>
    <w:rsid w:val="00A26689"/>
    <w:rsid w:val="00A31713"/>
    <w:rsid w:val="00A3251B"/>
    <w:rsid w:val="00A33E65"/>
    <w:rsid w:val="00A344DB"/>
    <w:rsid w:val="00A34BCB"/>
    <w:rsid w:val="00A3634C"/>
    <w:rsid w:val="00A36DA0"/>
    <w:rsid w:val="00A36F84"/>
    <w:rsid w:val="00A40684"/>
    <w:rsid w:val="00A411AF"/>
    <w:rsid w:val="00A41A0E"/>
    <w:rsid w:val="00A439C6"/>
    <w:rsid w:val="00A44164"/>
    <w:rsid w:val="00A47B8F"/>
    <w:rsid w:val="00A50223"/>
    <w:rsid w:val="00A50A42"/>
    <w:rsid w:val="00A524D8"/>
    <w:rsid w:val="00A52DC2"/>
    <w:rsid w:val="00A53673"/>
    <w:rsid w:val="00A543BD"/>
    <w:rsid w:val="00A54BC9"/>
    <w:rsid w:val="00A56F8A"/>
    <w:rsid w:val="00A57C25"/>
    <w:rsid w:val="00A6655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A1721"/>
    <w:rsid w:val="00AA1DCD"/>
    <w:rsid w:val="00AA373A"/>
    <w:rsid w:val="00AA5413"/>
    <w:rsid w:val="00AA732E"/>
    <w:rsid w:val="00AA7617"/>
    <w:rsid w:val="00AB2BBF"/>
    <w:rsid w:val="00AB5BDE"/>
    <w:rsid w:val="00AB645B"/>
    <w:rsid w:val="00AC00D7"/>
    <w:rsid w:val="00AC00DD"/>
    <w:rsid w:val="00AC0732"/>
    <w:rsid w:val="00AC08AE"/>
    <w:rsid w:val="00AC0F0D"/>
    <w:rsid w:val="00AC132D"/>
    <w:rsid w:val="00AC2E3A"/>
    <w:rsid w:val="00AC3B0A"/>
    <w:rsid w:val="00AC4733"/>
    <w:rsid w:val="00AC5236"/>
    <w:rsid w:val="00AC548F"/>
    <w:rsid w:val="00AC54B8"/>
    <w:rsid w:val="00AD0753"/>
    <w:rsid w:val="00AD43D3"/>
    <w:rsid w:val="00AD5279"/>
    <w:rsid w:val="00AD5DCE"/>
    <w:rsid w:val="00AD6842"/>
    <w:rsid w:val="00AD6FB9"/>
    <w:rsid w:val="00AD7588"/>
    <w:rsid w:val="00AE08E3"/>
    <w:rsid w:val="00AE128D"/>
    <w:rsid w:val="00AE1488"/>
    <w:rsid w:val="00AE1950"/>
    <w:rsid w:val="00AE1B03"/>
    <w:rsid w:val="00AE25F4"/>
    <w:rsid w:val="00AE405E"/>
    <w:rsid w:val="00AF1FEB"/>
    <w:rsid w:val="00AF4F6F"/>
    <w:rsid w:val="00B01C55"/>
    <w:rsid w:val="00B02B5E"/>
    <w:rsid w:val="00B0592E"/>
    <w:rsid w:val="00B07113"/>
    <w:rsid w:val="00B075B3"/>
    <w:rsid w:val="00B10D5F"/>
    <w:rsid w:val="00B125C2"/>
    <w:rsid w:val="00B1688C"/>
    <w:rsid w:val="00B175C3"/>
    <w:rsid w:val="00B2009D"/>
    <w:rsid w:val="00B2177E"/>
    <w:rsid w:val="00B21E8C"/>
    <w:rsid w:val="00B2248F"/>
    <w:rsid w:val="00B24146"/>
    <w:rsid w:val="00B24AAA"/>
    <w:rsid w:val="00B25CE3"/>
    <w:rsid w:val="00B262BF"/>
    <w:rsid w:val="00B266E6"/>
    <w:rsid w:val="00B27187"/>
    <w:rsid w:val="00B3031F"/>
    <w:rsid w:val="00B30673"/>
    <w:rsid w:val="00B30C4E"/>
    <w:rsid w:val="00B31809"/>
    <w:rsid w:val="00B323C1"/>
    <w:rsid w:val="00B326CD"/>
    <w:rsid w:val="00B32834"/>
    <w:rsid w:val="00B33330"/>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3310"/>
    <w:rsid w:val="00B63BFD"/>
    <w:rsid w:val="00B65389"/>
    <w:rsid w:val="00B6597B"/>
    <w:rsid w:val="00B6620F"/>
    <w:rsid w:val="00B66D88"/>
    <w:rsid w:val="00B67F6B"/>
    <w:rsid w:val="00B67F98"/>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5329"/>
    <w:rsid w:val="00B96591"/>
    <w:rsid w:val="00B969DE"/>
    <w:rsid w:val="00B97D6F"/>
    <w:rsid w:val="00BA0BB5"/>
    <w:rsid w:val="00BA27DC"/>
    <w:rsid w:val="00BA2DF8"/>
    <w:rsid w:val="00BA30DE"/>
    <w:rsid w:val="00BA3AC8"/>
    <w:rsid w:val="00BA3E0A"/>
    <w:rsid w:val="00BA4043"/>
    <w:rsid w:val="00BA5D6D"/>
    <w:rsid w:val="00BA6545"/>
    <w:rsid w:val="00BB0C65"/>
    <w:rsid w:val="00BB52F0"/>
    <w:rsid w:val="00BB5446"/>
    <w:rsid w:val="00BB5B0C"/>
    <w:rsid w:val="00BB62A4"/>
    <w:rsid w:val="00BB6BA7"/>
    <w:rsid w:val="00BC371E"/>
    <w:rsid w:val="00BC3A1E"/>
    <w:rsid w:val="00BC5690"/>
    <w:rsid w:val="00BC68FA"/>
    <w:rsid w:val="00BC77D9"/>
    <w:rsid w:val="00BD138D"/>
    <w:rsid w:val="00BD273D"/>
    <w:rsid w:val="00BD28CC"/>
    <w:rsid w:val="00BD3161"/>
    <w:rsid w:val="00BE1424"/>
    <w:rsid w:val="00BE17A4"/>
    <w:rsid w:val="00BE266D"/>
    <w:rsid w:val="00BE6073"/>
    <w:rsid w:val="00BE657A"/>
    <w:rsid w:val="00BF36E1"/>
    <w:rsid w:val="00BF57C4"/>
    <w:rsid w:val="00BF5CAF"/>
    <w:rsid w:val="00BF656E"/>
    <w:rsid w:val="00C03FB7"/>
    <w:rsid w:val="00C04796"/>
    <w:rsid w:val="00C057E6"/>
    <w:rsid w:val="00C11E98"/>
    <w:rsid w:val="00C123F2"/>
    <w:rsid w:val="00C15A8A"/>
    <w:rsid w:val="00C16987"/>
    <w:rsid w:val="00C16CAA"/>
    <w:rsid w:val="00C16EDA"/>
    <w:rsid w:val="00C22034"/>
    <w:rsid w:val="00C2648E"/>
    <w:rsid w:val="00C26D02"/>
    <w:rsid w:val="00C2777A"/>
    <w:rsid w:val="00C319D0"/>
    <w:rsid w:val="00C31F46"/>
    <w:rsid w:val="00C333A5"/>
    <w:rsid w:val="00C334F9"/>
    <w:rsid w:val="00C34053"/>
    <w:rsid w:val="00C3430E"/>
    <w:rsid w:val="00C34358"/>
    <w:rsid w:val="00C34E4D"/>
    <w:rsid w:val="00C40113"/>
    <w:rsid w:val="00C41C0C"/>
    <w:rsid w:val="00C44513"/>
    <w:rsid w:val="00C46773"/>
    <w:rsid w:val="00C467D2"/>
    <w:rsid w:val="00C5075D"/>
    <w:rsid w:val="00C50EBE"/>
    <w:rsid w:val="00C521E6"/>
    <w:rsid w:val="00C56E47"/>
    <w:rsid w:val="00C57F87"/>
    <w:rsid w:val="00C6089B"/>
    <w:rsid w:val="00C61940"/>
    <w:rsid w:val="00C6457F"/>
    <w:rsid w:val="00C65F24"/>
    <w:rsid w:val="00C671DF"/>
    <w:rsid w:val="00C6751D"/>
    <w:rsid w:val="00C6767B"/>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4270"/>
    <w:rsid w:val="00C94BE9"/>
    <w:rsid w:val="00C971CB"/>
    <w:rsid w:val="00CA101C"/>
    <w:rsid w:val="00CA2812"/>
    <w:rsid w:val="00CA5E1E"/>
    <w:rsid w:val="00CA61B9"/>
    <w:rsid w:val="00CA6973"/>
    <w:rsid w:val="00CB66D6"/>
    <w:rsid w:val="00CB6838"/>
    <w:rsid w:val="00CB6DB2"/>
    <w:rsid w:val="00CC0D3F"/>
    <w:rsid w:val="00CC12A9"/>
    <w:rsid w:val="00CC12B2"/>
    <w:rsid w:val="00CC3C71"/>
    <w:rsid w:val="00CC50C2"/>
    <w:rsid w:val="00CC7A55"/>
    <w:rsid w:val="00CC7D3F"/>
    <w:rsid w:val="00CD2FD2"/>
    <w:rsid w:val="00CD3E50"/>
    <w:rsid w:val="00CD5582"/>
    <w:rsid w:val="00CD7576"/>
    <w:rsid w:val="00CE111A"/>
    <w:rsid w:val="00CE4367"/>
    <w:rsid w:val="00CE5871"/>
    <w:rsid w:val="00CE67AC"/>
    <w:rsid w:val="00CF1BAD"/>
    <w:rsid w:val="00CF459F"/>
    <w:rsid w:val="00D017C8"/>
    <w:rsid w:val="00D02A71"/>
    <w:rsid w:val="00D03376"/>
    <w:rsid w:val="00D0503D"/>
    <w:rsid w:val="00D05D75"/>
    <w:rsid w:val="00D0728C"/>
    <w:rsid w:val="00D07899"/>
    <w:rsid w:val="00D13784"/>
    <w:rsid w:val="00D16388"/>
    <w:rsid w:val="00D17AFD"/>
    <w:rsid w:val="00D22A9E"/>
    <w:rsid w:val="00D23EC7"/>
    <w:rsid w:val="00D25AAA"/>
    <w:rsid w:val="00D27253"/>
    <w:rsid w:val="00D27B17"/>
    <w:rsid w:val="00D30048"/>
    <w:rsid w:val="00D30B36"/>
    <w:rsid w:val="00D32169"/>
    <w:rsid w:val="00D325C0"/>
    <w:rsid w:val="00D333CC"/>
    <w:rsid w:val="00D34A40"/>
    <w:rsid w:val="00D36BD5"/>
    <w:rsid w:val="00D37E81"/>
    <w:rsid w:val="00D40341"/>
    <w:rsid w:val="00D40B67"/>
    <w:rsid w:val="00D42869"/>
    <w:rsid w:val="00D42F81"/>
    <w:rsid w:val="00D438D0"/>
    <w:rsid w:val="00D47BB5"/>
    <w:rsid w:val="00D554AB"/>
    <w:rsid w:val="00D56841"/>
    <w:rsid w:val="00D611B6"/>
    <w:rsid w:val="00D6277B"/>
    <w:rsid w:val="00D63127"/>
    <w:rsid w:val="00D63DB4"/>
    <w:rsid w:val="00D661DB"/>
    <w:rsid w:val="00D71F45"/>
    <w:rsid w:val="00D74831"/>
    <w:rsid w:val="00D76B2B"/>
    <w:rsid w:val="00D80904"/>
    <w:rsid w:val="00D8194A"/>
    <w:rsid w:val="00D828F6"/>
    <w:rsid w:val="00D854E4"/>
    <w:rsid w:val="00D85EC0"/>
    <w:rsid w:val="00D86F59"/>
    <w:rsid w:val="00D87152"/>
    <w:rsid w:val="00D90FBC"/>
    <w:rsid w:val="00D91B97"/>
    <w:rsid w:val="00D97227"/>
    <w:rsid w:val="00D97723"/>
    <w:rsid w:val="00DB27EE"/>
    <w:rsid w:val="00DB300F"/>
    <w:rsid w:val="00DB6A3E"/>
    <w:rsid w:val="00DC0EC3"/>
    <w:rsid w:val="00DC0F65"/>
    <w:rsid w:val="00DC1048"/>
    <w:rsid w:val="00DC237F"/>
    <w:rsid w:val="00DC2CA0"/>
    <w:rsid w:val="00DC2D08"/>
    <w:rsid w:val="00DC3F93"/>
    <w:rsid w:val="00DC45CF"/>
    <w:rsid w:val="00DC4E72"/>
    <w:rsid w:val="00DC50F4"/>
    <w:rsid w:val="00DC656A"/>
    <w:rsid w:val="00DC7131"/>
    <w:rsid w:val="00DD2D4F"/>
    <w:rsid w:val="00DD3C7B"/>
    <w:rsid w:val="00DD6356"/>
    <w:rsid w:val="00DE01DB"/>
    <w:rsid w:val="00DE581F"/>
    <w:rsid w:val="00DE66A3"/>
    <w:rsid w:val="00DE6E79"/>
    <w:rsid w:val="00DF039A"/>
    <w:rsid w:val="00DF06E0"/>
    <w:rsid w:val="00DF0D55"/>
    <w:rsid w:val="00DF18BA"/>
    <w:rsid w:val="00DF2301"/>
    <w:rsid w:val="00DF490F"/>
    <w:rsid w:val="00E0314A"/>
    <w:rsid w:val="00E07B73"/>
    <w:rsid w:val="00E10ABD"/>
    <w:rsid w:val="00E117BE"/>
    <w:rsid w:val="00E13A77"/>
    <w:rsid w:val="00E1578E"/>
    <w:rsid w:val="00E15966"/>
    <w:rsid w:val="00E15CBE"/>
    <w:rsid w:val="00E20FDD"/>
    <w:rsid w:val="00E22645"/>
    <w:rsid w:val="00E23AA0"/>
    <w:rsid w:val="00E31982"/>
    <w:rsid w:val="00E33F76"/>
    <w:rsid w:val="00E3428A"/>
    <w:rsid w:val="00E37A09"/>
    <w:rsid w:val="00E4007C"/>
    <w:rsid w:val="00E4318A"/>
    <w:rsid w:val="00E438F0"/>
    <w:rsid w:val="00E44BA8"/>
    <w:rsid w:val="00E44F2E"/>
    <w:rsid w:val="00E457B5"/>
    <w:rsid w:val="00E50580"/>
    <w:rsid w:val="00E5193F"/>
    <w:rsid w:val="00E52078"/>
    <w:rsid w:val="00E52940"/>
    <w:rsid w:val="00E52BB4"/>
    <w:rsid w:val="00E541D7"/>
    <w:rsid w:val="00E542DA"/>
    <w:rsid w:val="00E5507C"/>
    <w:rsid w:val="00E56712"/>
    <w:rsid w:val="00E579A9"/>
    <w:rsid w:val="00E57F04"/>
    <w:rsid w:val="00E605A7"/>
    <w:rsid w:val="00E613CC"/>
    <w:rsid w:val="00E624F9"/>
    <w:rsid w:val="00E705F0"/>
    <w:rsid w:val="00E70B0A"/>
    <w:rsid w:val="00E73D09"/>
    <w:rsid w:val="00E75E31"/>
    <w:rsid w:val="00E774AF"/>
    <w:rsid w:val="00E77787"/>
    <w:rsid w:val="00E77D87"/>
    <w:rsid w:val="00E80159"/>
    <w:rsid w:val="00E80312"/>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5EC"/>
    <w:rsid w:val="00EB2878"/>
    <w:rsid w:val="00EB51FE"/>
    <w:rsid w:val="00EB5A15"/>
    <w:rsid w:val="00EB61A8"/>
    <w:rsid w:val="00EB76C8"/>
    <w:rsid w:val="00EB7708"/>
    <w:rsid w:val="00EC289D"/>
    <w:rsid w:val="00EC41E0"/>
    <w:rsid w:val="00EC4317"/>
    <w:rsid w:val="00EC505C"/>
    <w:rsid w:val="00EC5520"/>
    <w:rsid w:val="00EC56F0"/>
    <w:rsid w:val="00EC7812"/>
    <w:rsid w:val="00ED19E6"/>
    <w:rsid w:val="00ED1CD1"/>
    <w:rsid w:val="00ED41AF"/>
    <w:rsid w:val="00ED4592"/>
    <w:rsid w:val="00ED74FD"/>
    <w:rsid w:val="00ED7A8A"/>
    <w:rsid w:val="00EE4C55"/>
    <w:rsid w:val="00EF1C85"/>
    <w:rsid w:val="00EF3011"/>
    <w:rsid w:val="00EF3C4E"/>
    <w:rsid w:val="00EF3F81"/>
    <w:rsid w:val="00EF5BF2"/>
    <w:rsid w:val="00EF5E91"/>
    <w:rsid w:val="00EF75F0"/>
    <w:rsid w:val="00F0020D"/>
    <w:rsid w:val="00F02ABF"/>
    <w:rsid w:val="00F037BD"/>
    <w:rsid w:val="00F06094"/>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737"/>
    <w:rsid w:val="00F44819"/>
    <w:rsid w:val="00F45324"/>
    <w:rsid w:val="00F4621C"/>
    <w:rsid w:val="00F472D4"/>
    <w:rsid w:val="00F51E7E"/>
    <w:rsid w:val="00F52C63"/>
    <w:rsid w:val="00F545E4"/>
    <w:rsid w:val="00F54A65"/>
    <w:rsid w:val="00F61642"/>
    <w:rsid w:val="00F70D80"/>
    <w:rsid w:val="00F728D3"/>
    <w:rsid w:val="00F7341A"/>
    <w:rsid w:val="00F80200"/>
    <w:rsid w:val="00F80747"/>
    <w:rsid w:val="00F81575"/>
    <w:rsid w:val="00F81B18"/>
    <w:rsid w:val="00F872E6"/>
    <w:rsid w:val="00F903F5"/>
    <w:rsid w:val="00F9247A"/>
    <w:rsid w:val="00F92739"/>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D0366"/>
    <w:rsid w:val="00FD118A"/>
    <w:rsid w:val="00FD3356"/>
    <w:rsid w:val="00FE1D7F"/>
    <w:rsid w:val="00FE2329"/>
    <w:rsid w:val="00FE3003"/>
    <w:rsid w:val="00FE4E25"/>
    <w:rsid w:val="00FF090C"/>
    <w:rsid w:val="00FF105A"/>
    <w:rsid w:val="00FF4889"/>
    <w:rsid w:val="00FF6844"/>
    <w:rsid w:val="00FF7A40"/>
    <w:rsid w:val="03C000E5"/>
    <w:rsid w:val="14C8062A"/>
    <w:rsid w:val="198C4B68"/>
    <w:rsid w:val="1D7DB72F"/>
    <w:rsid w:val="20EA5A31"/>
    <w:rsid w:val="2C76251D"/>
    <w:rsid w:val="33CF2C1F"/>
    <w:rsid w:val="39541E55"/>
    <w:rsid w:val="3B5FB857"/>
    <w:rsid w:val="46FBD465"/>
    <w:rsid w:val="4D343F53"/>
    <w:rsid w:val="4DBD2B4F"/>
    <w:rsid w:val="5FA7092F"/>
    <w:rsid w:val="6B873C42"/>
    <w:rsid w:val="6C2F4D09"/>
    <w:rsid w:val="7239F65F"/>
    <w:rsid w:val="73C62A7F"/>
    <w:rsid w:val="7B673433"/>
    <w:rsid w:val="7CBF32F5"/>
    <w:rsid w:val="7CBFBCE3"/>
    <w:rsid w:val="7DEA42E1"/>
    <w:rsid w:val="7DF12352"/>
    <w:rsid w:val="7DFFA71C"/>
    <w:rsid w:val="7E4D9EF2"/>
    <w:rsid w:val="7E7C4FA8"/>
    <w:rsid w:val="7EFCF21B"/>
    <w:rsid w:val="7F3D3E83"/>
    <w:rsid w:val="B1FD621E"/>
    <w:rsid w:val="BADF74F0"/>
    <w:rsid w:val="BE5D18E6"/>
    <w:rsid w:val="D7DF4AA0"/>
    <w:rsid w:val="D9BF7B0E"/>
    <w:rsid w:val="DD3F271D"/>
    <w:rsid w:val="DEAD0AD1"/>
    <w:rsid w:val="DFBE05AC"/>
    <w:rsid w:val="EBB3DABD"/>
    <w:rsid w:val="EBE7BAD8"/>
    <w:rsid w:val="EEFFE941"/>
    <w:rsid w:val="F6FD9E7A"/>
    <w:rsid w:val="F7DB5CBA"/>
    <w:rsid w:val="F7FFCABA"/>
    <w:rsid w:val="FBE633E1"/>
    <w:rsid w:val="FCCF751D"/>
    <w:rsid w:val="FCE755D8"/>
    <w:rsid w:val="FD7EAC15"/>
    <w:rsid w:val="FDDD87DC"/>
    <w:rsid w:val="FE6DAAD8"/>
    <w:rsid w:val="FE7D5A7C"/>
    <w:rsid w:val="FF95F825"/>
    <w:rsid w:val="FFF38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4"/>
    <w:qFormat/>
    <w:uiPriority w:val="0"/>
    <w:rPr>
      <w:rFonts w:ascii="仿宋_GB2312" w:eastAsia="仿宋_GB2312"/>
      <w:sz w:val="32"/>
    </w:r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 Char"/>
    <w:basedOn w:val="10"/>
    <w:link w:val="5"/>
    <w:qFormat/>
    <w:uiPriority w:val="0"/>
    <w:rPr>
      <w:rFonts w:ascii="Times New Roman" w:hAnsi="Times New Roman" w:eastAsia="宋体" w:cs="Times New Roman"/>
      <w:sz w:val="18"/>
      <w:szCs w:val="18"/>
    </w:rPr>
  </w:style>
  <w:style w:type="character" w:customStyle="1" w:styleId="14">
    <w:name w:val="日期 Char"/>
    <w:basedOn w:val="10"/>
    <w:link w:val="3"/>
    <w:qFormat/>
    <w:uiPriority w:val="0"/>
    <w:rPr>
      <w:rFonts w:ascii="仿宋_GB2312" w:hAnsi="Times New Roman" w:eastAsia="仿宋_GB2312" w:cs="Times New Roman"/>
      <w:sz w:val="32"/>
      <w:szCs w:val="24"/>
    </w:rPr>
  </w:style>
  <w:style w:type="character" w:customStyle="1" w:styleId="15">
    <w:name w:val="页眉 Char"/>
    <w:basedOn w:val="10"/>
    <w:link w:val="6"/>
    <w:qFormat/>
    <w:uiPriority w:val="99"/>
    <w:rPr>
      <w:rFonts w:ascii="Times New Roman" w:hAnsi="Times New Roman" w:eastAsia="宋体" w:cs="Times New Roman"/>
      <w:sz w:val="18"/>
      <w:szCs w:val="18"/>
    </w:rPr>
  </w:style>
  <w:style w:type="character" w:customStyle="1" w:styleId="16">
    <w:name w:val="批注文字 Char"/>
    <w:basedOn w:val="10"/>
    <w:link w:val="2"/>
    <w:semiHidden/>
    <w:qFormat/>
    <w:uiPriority w:val="99"/>
    <w:rPr>
      <w:rFonts w:ascii="Times New Roman" w:hAnsi="Times New Roman" w:eastAsia="宋体" w:cs="Times New Roman"/>
      <w:szCs w:val="24"/>
    </w:rPr>
  </w:style>
  <w:style w:type="character" w:customStyle="1" w:styleId="17">
    <w:name w:val="批注主题 Char"/>
    <w:basedOn w:val="16"/>
    <w:link w:val="7"/>
    <w:semiHidden/>
    <w:qFormat/>
    <w:uiPriority w:val="99"/>
    <w:rPr>
      <w:rFonts w:ascii="Times New Roman" w:hAnsi="Times New Roman" w:eastAsia="宋体" w:cs="Times New Roman"/>
      <w:b/>
      <w:bCs/>
      <w:szCs w:val="24"/>
    </w:rPr>
  </w:style>
  <w:style w:type="character" w:customStyle="1" w:styleId="18">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77</Words>
  <Characters>442</Characters>
  <Lines>3</Lines>
  <Paragraphs>1</Paragraphs>
  <TotalTime>471</TotalTime>
  <ScaleCrop>false</ScaleCrop>
  <LinksUpToDate>false</LinksUpToDate>
  <CharactersWithSpaces>518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2019-09-17T08:45:00Z</dcterms:created>
  <dc:creator>CN=李小鹏/OU=办公室/O=CZCE</dc:creator>
  <cp:lastModifiedBy>张雅杰</cp:lastModifiedBy>
  <dcterms:modified xsi:type="dcterms:W3CDTF">2024-11-26T16:28:54Z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0417726F801A49C7B4F1CC64401D5C43</vt:lpwstr>
  </property>
</Properties>
</file>