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7E6E6"/>
  <w:body>
    <w:p>
      <w:pPr>
        <w:pStyle w:val="134"/>
        <w:framePr w:wrap="around"/>
        <w:pBdr>
          <w:top w:val="none" w:sz="0" w:space="0"/>
          <w:left w:val="none" w:sz="0" w:space="0"/>
          <w:bottom w:val="none" w:sz="0" w:space="0"/>
          <w:right w:val="none" w:sz="0" w:space="0"/>
        </w:pBdr>
      </w:pPr>
      <w:r>
        <w:rPr>
          <w:rFonts w:ascii="Times New Roman"/>
        </w:rPr>
        <w:t>ICS</w:t>
      </w:r>
      <w:r>
        <w:rPr>
          <w:rFonts w:hint="eastAsia" w:ascii="MS Mincho" w:hAnsi="MS Mincho" w:eastAsia="MS Mincho" w:cs="MS Mincho"/>
        </w:rPr>
        <w:t> </w:t>
      </w:r>
      <w:bookmarkStart w:id="0" w:name="ICS"/>
      <w:r>
        <w:rPr>
          <w:rFonts w:hint="eastAsia"/>
        </w:rPr>
        <w:fldChar w:fldCharType="begin">
          <w:ffData>
            <w:name w:val="ICS"/>
            <w:enabled/>
            <w:calcOnExit w:val="0"/>
            <w:helpText w:type="text" w:val="请输入正确的ICS号："/>
            <w:textInput>
              <w:default w:val="65.020.20"/>
            </w:textInput>
          </w:ffData>
        </w:fldChar>
      </w:r>
      <w:r>
        <w:instrText xml:space="preserve">FORMTEXT</w:instrText>
      </w:r>
      <w:r>
        <w:rPr>
          <w:rFonts w:hint="eastAsia"/>
        </w:rPr>
        <w:fldChar w:fldCharType="separate"/>
      </w:r>
      <w:r>
        <w:rPr>
          <w:rFonts w:hint="eastAsia"/>
        </w:rPr>
        <w:t>65.020.20</w:t>
      </w:r>
      <w:r>
        <w:rPr>
          <w:rFonts w:hint="eastAsia"/>
        </w:rPr>
        <w:fldChar w:fldCharType="end"/>
      </w:r>
      <w:bookmarkEnd w:id="0"/>
    </w:p>
    <w:p>
      <w:pPr>
        <w:pStyle w:val="134"/>
        <w:framePr w:wrap="around"/>
        <w:pBdr>
          <w:top w:val="none" w:sz="0" w:space="0"/>
          <w:left w:val="none" w:sz="0" w:space="0"/>
          <w:bottom w:val="none" w:sz="0" w:space="0"/>
          <w:right w:val="none" w:sz="0" w:space="0"/>
        </w:pBdr>
      </w:pPr>
      <w:bookmarkStart w:id="1" w:name="WXFLH"/>
      <w:r>
        <w:fldChar w:fldCharType="begin">
          <w:ffData>
            <w:name w:val="WXFLH"/>
            <w:enabled/>
            <w:calcOnExit w:val="0"/>
            <w:statusText w:type="text" w:val="XX XXXX"/>
            <w:textInput>
              <w:default w:val="CCS B 34"/>
            </w:textInput>
          </w:ffData>
        </w:fldChar>
      </w:r>
      <w:r>
        <w:instrText xml:space="preserve">FORMTEXT</w:instrText>
      </w:r>
      <w:r>
        <w:fldChar w:fldCharType="separate"/>
      </w:r>
      <w:r>
        <w:t>CCS B 34</w:t>
      </w:r>
      <w:r>
        <w:fldChar w:fldCharType="end"/>
      </w:r>
      <w:bookmarkEnd w:id="1"/>
      <w:r>
        <w:rPr>
          <w:rFonts w:hint="eastAsia"/>
        </w:rPr>
        <w:t xml:space="preserve"> </w:t>
      </w:r>
      <w:bookmarkStart w:id="87" w:name="_GoBack"/>
      <w:bookmarkEnd w:id="87"/>
      <w:r>
        <w:rPr>
          <w:rFonts w:hint="eastAsia"/>
        </w:rPr>
        <w:t xml:space="preserve"> </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134"/>
              <w:framePr w:wrap="around"/>
            </w:pPr>
            <w: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0</wp:posOffset>
                      </wp:positionV>
                      <wp:extent cx="866775" cy="198120"/>
                      <wp:effectExtent l="0" t="0" r="0" b="1905"/>
                      <wp:wrapNone/>
                      <wp:docPr id="2"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txbx>
                              <w:txbxContent>
                                <w:p/>
                              </w:txbxContent>
                            </wps:txbx>
                            <wps:bodyPr wrap="square" upright="1"/>
                          </wps:wsp>
                        </a:graphicData>
                      </a:graphic>
                    </wp:anchor>
                  </w:drawing>
                </mc:Choice>
                <mc:Fallback>
                  <w:pict>
                    <v:rect id="BAH" o:spid="_x0000_s1026" o:spt="1" style="position:absolute;left:0pt;margin-left:-5.25pt;margin-top:0pt;height:15.6pt;width:68.25pt;z-index:-25165619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I&#10;ri/s1QAAAAcBAAAPAAAAAAAAAAEAIAAAACIAAABkcnMvZG93bnJldi54bWxQSwECFAAUAAAACACH&#10;TuJA+HF5UrUBAAByAwAADgAAAAAAAAABACAAAAAkAQAAZHJzL2Uyb0RvYy54bWxQSwUGAAAAAAYA&#10;BgBZAQAASwUAAAAA&#10;">
                      <v:fill on="t" focussize="0,0"/>
                      <v:stroke on="f"/>
                      <v:imagedata o:title=""/>
                      <o:lock v:ext="edit" aspectratio="f"/>
                      <v:textbox>
                        <w:txbxContent>
                          <w:p/>
                        </w:txbxContent>
                      </v:textbox>
                    </v:rect>
                  </w:pict>
                </mc:Fallback>
              </mc:AlternateContent>
            </w:r>
          </w:p>
        </w:tc>
      </w:tr>
    </w:tbl>
    <w:p>
      <w:pPr>
        <w:pStyle w:val="55"/>
        <w:framePr w:wrap="around"/>
      </w:pPr>
      <w:r>
        <w:rPr>
          <w:rFonts w:hint="eastAsia"/>
        </w:rPr>
        <w:t>团体标准</w:t>
      </w:r>
    </w:p>
    <w:p>
      <w:pPr>
        <w:pStyle w:val="110"/>
        <w:framePr w:wrap="around"/>
        <w:rPr>
          <w:rFonts w:hAnsi="黑体"/>
        </w:rPr>
      </w:pPr>
      <w:bookmarkStart w:id="2" w:name="StdNo0"/>
      <w:r>
        <w:rPr>
          <w:rFonts w:hint="eastAsia" w:ascii="Times New Roman"/>
        </w:rPr>
        <w:t>T</w:t>
      </w:r>
      <w:bookmarkEnd w:id="2"/>
      <w:r>
        <w:rPr>
          <w:rFonts w:hAnsi="黑体"/>
        </w:rPr>
        <w:t>/</w:t>
      </w:r>
      <w:r>
        <w:rPr>
          <w:rFonts w:hint="eastAsia" w:hAnsi="黑体"/>
        </w:rPr>
        <w:t xml:space="preserve">CATEA </w:t>
      </w:r>
      <w:r>
        <w:rPr>
          <w:rFonts w:hint="eastAsia" w:hAnsi="黑体"/>
          <w:lang w:val="en-US" w:eastAsia="zh-CN"/>
        </w:rPr>
        <w:t>004</w:t>
      </w:r>
      <w:r>
        <w:rPr>
          <w:rFonts w:hAnsi="黑体"/>
        </w:rPr>
        <w:t>—</w:t>
      </w:r>
      <w:r>
        <w:rPr>
          <w:rFonts w:hint="eastAsia" w:hAnsi="黑体"/>
        </w:rPr>
        <w:t>2023</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94"/>
              <w:framePr w:wrap="around"/>
              <w:ind w:right="420"/>
              <w:jc w:val="both"/>
            </w:pPr>
            <w:bookmarkStart w:id="3"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txbxContent>
                            </wps:txbx>
                            <wps:bodyPr wrap="square"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mDyy9YA&#10;AAAIAQAADwAAAAAAAAABACAAAAAiAAAAZHJzL2Rvd25yZXYueG1sUEsBAhQAFAAAAAgAh07iQMUf&#10;+8+vAQAAcgMAAA4AAAAAAAAAAQAgAAAAJQEAAGRycy9lMm9Eb2MueG1sUEsFBgAAAAAGAAYAWQEA&#10;AEYFAAAAAA==&#10;">
                      <v:fill on="t" focussize="0,0"/>
                      <v:stroke on="f"/>
                      <v:imagedata o:title=""/>
                      <o:lock v:ext="edit" aspectratio="f"/>
                      <v:textbox>
                        <w:txbxContent>
                          <w:p/>
                        </w:txbxContent>
                      </v:textbox>
                    </v:rect>
                  </w:pict>
                </mc:Fallback>
              </mc:AlternateContent>
            </w:r>
            <w:bookmarkEnd w:id="3"/>
          </w:p>
        </w:tc>
      </w:tr>
    </w:tbl>
    <w:p>
      <w:pPr>
        <w:pStyle w:val="110"/>
        <w:framePr w:wrap="around"/>
        <w:rPr>
          <w:rFonts w:hAnsi="黑体"/>
        </w:rPr>
      </w:pPr>
    </w:p>
    <w:p>
      <w:pPr>
        <w:pStyle w:val="110"/>
        <w:framePr w:wrap="around"/>
        <w:rPr>
          <w:rFonts w:hAnsi="黑体"/>
        </w:rPr>
      </w:pPr>
    </w:p>
    <w:p>
      <w:pPr>
        <w:pStyle w:val="71"/>
        <w:framePr w:wrap="around"/>
      </w:pPr>
      <w:r>
        <w:rPr>
          <w:rFonts w:hint="eastAsia"/>
        </w:rPr>
        <w:t>甘蔗</w:t>
      </w:r>
      <w:r>
        <w:rPr>
          <w:rFonts w:hint="eastAsia"/>
          <w:lang w:eastAsia="zh-CN"/>
        </w:rPr>
        <w:t>分步</w:t>
      </w:r>
      <w:r>
        <w:rPr>
          <w:rFonts w:hint="eastAsia"/>
          <w:lang w:val="en-US" w:eastAsia="zh-CN"/>
        </w:rPr>
        <w:t>协同</w:t>
      </w:r>
      <w:r>
        <w:rPr>
          <w:rFonts w:hint="eastAsia"/>
        </w:rPr>
        <w:t>机收技术规程</w:t>
      </w:r>
    </w:p>
    <w:p>
      <w:pPr>
        <w:pStyle w:val="85"/>
        <w:framePr w:wrap="around"/>
        <w:rPr>
          <w:rFonts w:hint="eastAsia"/>
          <w:b/>
          <w:lang w:val="en-US" w:eastAsia="zh-CN"/>
        </w:rPr>
      </w:pPr>
      <w:r>
        <w:rPr>
          <w:b/>
        </w:rPr>
        <w:t>Techn</w:t>
      </w:r>
      <w:r>
        <w:rPr>
          <w:rFonts w:hint="eastAsia"/>
          <w:b/>
          <w:lang w:val="en-US" w:eastAsia="zh-CN"/>
        </w:rPr>
        <w:t>ical</w:t>
      </w:r>
      <w:r>
        <w:rPr>
          <w:b/>
        </w:rPr>
        <w:t xml:space="preserve"> s</w:t>
      </w:r>
      <w:r>
        <w:rPr>
          <w:rFonts w:hint="eastAsia"/>
          <w:b/>
          <w:lang w:val="en-US" w:eastAsia="zh-CN"/>
        </w:rPr>
        <w:t xml:space="preserve">pecification </w:t>
      </w:r>
      <w:r>
        <w:rPr>
          <w:b/>
        </w:rPr>
        <w:t xml:space="preserve">for sugarcane </w:t>
      </w:r>
      <w:r>
        <w:rPr>
          <w:rFonts w:hint="eastAsia"/>
          <w:b/>
          <w:lang w:val="en-US" w:eastAsia="zh-CN"/>
        </w:rPr>
        <w:t xml:space="preserve">multi </w:t>
      </w:r>
      <w:r>
        <w:rPr>
          <w:rFonts w:hint="eastAsia"/>
          <w:b/>
        </w:rPr>
        <w:t>step</w:t>
      </w:r>
      <w:r>
        <w:rPr>
          <w:rFonts w:hint="eastAsia"/>
          <w:b/>
          <w:lang w:val="en-US" w:eastAsia="zh-CN"/>
        </w:rPr>
        <w:t xml:space="preserve"> collaborative</w:t>
      </w:r>
      <w:r>
        <w:rPr>
          <w:rFonts w:hint="eastAsia"/>
          <w:b/>
        </w:rPr>
        <w:t xml:space="preserve"> </w:t>
      </w:r>
      <w:r>
        <w:rPr>
          <w:b/>
        </w:rPr>
        <w:t>mechani</w:t>
      </w:r>
      <w:r>
        <w:rPr>
          <w:rFonts w:hint="eastAsia"/>
          <w:b/>
          <w:lang w:val="en-US" w:eastAsia="zh-CN"/>
        </w:rPr>
        <w:t>zed</w:t>
      </w:r>
      <w:r>
        <w:rPr>
          <w:rFonts w:hint="eastAsia"/>
          <w:b/>
        </w:rPr>
        <w:t xml:space="preserve"> </w:t>
      </w:r>
      <w:r>
        <w:rPr>
          <w:b/>
        </w:rPr>
        <w:t>harvest</w:t>
      </w:r>
      <w:r>
        <w:rPr>
          <w:rFonts w:hint="eastAsia"/>
          <w:b/>
          <w:lang w:val="en-US" w:eastAsia="zh-CN"/>
        </w:rPr>
        <w:t>ing</w:t>
      </w:r>
    </w:p>
    <w:p>
      <w:pPr>
        <w:pStyle w:val="137"/>
        <w:framePr w:wrap="around" w:hAnchor="page" w:x="941" w:y="13336"/>
      </w:pPr>
      <w:r>
        <w:rPr>
          <w:rFonts w:hint="eastAsia" w:ascii="黑体"/>
        </w:rPr>
        <w:t>2023</w:t>
      </w:r>
      <w:r>
        <w:t xml:space="preserve"> </w:t>
      </w:r>
      <w:r>
        <w:rPr>
          <w:rFonts w:hint="eastAsia"/>
        </w:rPr>
        <w:t>-</w:t>
      </w:r>
      <w:r>
        <w:t xml:space="preserve"> </w:t>
      </w:r>
      <w:r>
        <w:rPr>
          <w:rFonts w:hint="eastAsia" w:ascii="黑体"/>
          <w:lang w:val="en-US" w:eastAsia="zh-CN"/>
        </w:rPr>
        <w:t>12</w:t>
      </w:r>
      <w:r>
        <w:t xml:space="preserve"> </w:t>
      </w:r>
      <w:r>
        <w:rPr>
          <w:rFonts w:hint="eastAsia"/>
        </w:rPr>
        <w:t xml:space="preserve">- </w:t>
      </w:r>
      <w:r>
        <w:rPr>
          <w:rFonts w:hint="eastAsia" w:ascii="黑体"/>
          <w:lang w:val="en-US" w:eastAsia="zh-CN"/>
        </w:rPr>
        <w:t>01</w:t>
      </w:r>
      <w:r>
        <w:rPr>
          <w:rFonts w:hint="eastAsia"/>
        </w:rPr>
        <w:t>发布</w:t>
      </w:r>
      <w: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9251950</wp:posOffset>
                </wp:positionV>
                <wp:extent cx="6120130" cy="0"/>
                <wp:effectExtent l="0" t="0" r="0" b="0"/>
                <wp:wrapNone/>
                <wp:docPr id="3"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05pt;margin-top:728.5pt;height:0pt;width:481.9pt;mso-position-vertical-relative:page;z-index:251662336;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lh2s81gAAAAsBAAAPAAAA&#10;AAAAAAEAIAAAACIAAABkcnMvZG93bnJldi54bWxQSwECFAAUAAAACACHTuJAT3W0H94BAADQAwAA&#10;DgAAAAAAAAABACAAAAAlAQAAZHJzL2Uyb0RvYy54bWxQSwUGAAAAAAYABgBZAQAAdQUAAAAA&#10;">
                <v:fill on="f" focussize="0,0"/>
                <v:stroke color="#000000" joinstyle="round"/>
                <v:imagedata o:title=""/>
                <o:lock v:ext="edit" aspectratio="f"/>
                <w10:anchorlock/>
              </v:line>
            </w:pict>
          </mc:Fallback>
        </mc:AlternateContent>
      </w:r>
    </w:p>
    <w:p>
      <w:pPr>
        <w:pStyle w:val="49"/>
        <w:framePr w:wrap="around" w:hAnchor="page" w:x="6544" w:y="13435"/>
      </w:pPr>
      <w:r>
        <w:rPr>
          <w:rFonts w:hint="eastAsia" w:ascii="黑体"/>
        </w:rPr>
        <w:t>202</w:t>
      </w:r>
      <w:r>
        <w:rPr>
          <w:rFonts w:hint="eastAsia" w:ascii="黑体"/>
          <w:lang w:val="en-US" w:eastAsia="zh-CN"/>
        </w:rPr>
        <w:t>4</w:t>
      </w:r>
      <w:r>
        <w:t xml:space="preserve"> </w:t>
      </w:r>
      <w:r>
        <w:rPr>
          <w:rFonts w:hint="eastAsia"/>
        </w:rPr>
        <w:t xml:space="preserve">- </w:t>
      </w:r>
      <w:r>
        <w:rPr>
          <w:rFonts w:hint="eastAsia" w:ascii="黑体"/>
          <w:lang w:val="en-US" w:eastAsia="zh-CN"/>
        </w:rPr>
        <w:t>01</w:t>
      </w:r>
      <w:r>
        <w:t xml:space="preserve"> </w:t>
      </w:r>
      <w:r>
        <w:rPr>
          <w:rFonts w:hint="eastAsia"/>
        </w:rPr>
        <w:t xml:space="preserve">- </w:t>
      </w:r>
      <w:r>
        <w:rPr>
          <w:rFonts w:hint="eastAsia" w:ascii="黑体"/>
          <w:lang w:val="en-US" w:eastAsia="zh-CN"/>
        </w:rPr>
        <w:t>01</w:t>
      </w:r>
      <w:r>
        <w:rPr>
          <w:rFonts w:hint="eastAsia"/>
        </w:rPr>
        <w:t>实施</w:t>
      </w:r>
    </w:p>
    <w:p>
      <w:pPr>
        <w:pStyle w:val="125"/>
        <w:framePr w:wrap="around" w:x="1965" w:y="14726"/>
      </w:pPr>
      <w:bookmarkStart w:id="4" w:name="fm"/>
      <w:r>
        <w:fldChar w:fldCharType="begin">
          <w:ffData>
            <w:name w:val="fm"/>
            <w:enabled/>
            <w:calcOnExit w:val="0"/>
            <w:textInput>
              <w:default w:val="中国农业技术推广协会"/>
            </w:textInput>
          </w:ffData>
        </w:fldChar>
      </w:r>
      <w:r>
        <w:instrText xml:space="preserve"> FORMTEXT </w:instrText>
      </w:r>
      <w:r>
        <w:fldChar w:fldCharType="separate"/>
      </w:r>
      <w:r>
        <w:rPr>
          <w:rFonts w:hint="eastAsia"/>
        </w:rPr>
        <w:t>中国农业技术推广协会</w:t>
      </w:r>
      <w:r>
        <w:fldChar w:fldCharType="end"/>
      </w:r>
      <w:bookmarkEnd w:id="4"/>
      <w:r>
        <w:rPr>
          <w:rFonts w:hint="eastAsia" w:ascii="MS Mincho" w:hAnsi="MS Mincho" w:eastAsia="MS Mincho" w:cs="MS Mincho"/>
        </w:rPr>
        <w:t>   </w:t>
      </w:r>
      <w:r>
        <w:rPr>
          <w:rStyle w:val="46"/>
          <w:rFonts w:hint="eastAsia"/>
        </w:rPr>
        <w:t>发布</w:t>
      </w:r>
    </w:p>
    <w:p>
      <w:pPr>
        <w:pStyle w:val="23"/>
        <w:ind w:firstLine="0" w:firstLineChars="0"/>
        <w:rPr>
          <w:rFonts w:ascii="Times New Roman"/>
        </w:rPr>
        <w:sectPr>
          <w:pgSz w:w="11906" w:h="16838"/>
          <w:pgMar w:top="567" w:right="850" w:bottom="1134" w:left="1418" w:header="0" w:footer="0" w:gutter="0"/>
          <w:pgNumType w:start="1"/>
          <w:cols w:space="720" w:num="1"/>
          <w:docGrid w:type="lines" w:linePitch="312" w:charSpace="0"/>
        </w:sectPr>
      </w:pPr>
      <w:r>
        <w:rPr>
          <w:rFonts w:ascii="Times New Roman"/>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2339975</wp:posOffset>
                </wp:positionV>
                <wp:extent cx="6120130" cy="0"/>
                <wp:effectExtent l="0" t="4445" r="4445" b="5080"/>
                <wp:wrapNone/>
                <wp:docPr id="4"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05pt;margin-top:184.25pt;height:0pt;width:481.9pt;z-index:251661312;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JB4l/XAAAACQEAAA8A&#10;AAAAAAAAAQAgAAAAIgAAAGRycy9kb3ducmV2LnhtbFBLAQIUABQAAAAIAIdO4kCZC48V3wEAANAD&#10;AAAOAAAAAAAAAAEAIAAAACYBAABkcnMvZTJvRG9jLnhtbFBLBQYAAAAABgAGAFkBAAB3BQAAAAA=&#10;">
                <v:fill on="f" focussize="0,0"/>
                <v:stroke color="#000000" joinstyle="round"/>
                <v:imagedata o:title=""/>
                <o:lock v:ext="edit" aspectratio="f"/>
              </v:line>
            </w:pict>
          </mc:Fallback>
        </mc:AlternateContent>
      </w:r>
    </w:p>
    <w:p>
      <w:pPr>
        <w:pStyle w:val="141"/>
        <w:tabs>
          <w:tab w:val="center" w:pos="4677"/>
        </w:tabs>
        <w:spacing w:before="0" w:line="240" w:lineRule="auto"/>
        <w:rPr>
          <w:rFonts w:ascii="Times New Roman" w:hAnsi="Times New Roman" w:eastAsia="黑体"/>
          <w:color w:val="auto"/>
        </w:rPr>
      </w:pPr>
      <w:r>
        <w:rPr>
          <w:rFonts w:ascii="Times New Roman" w:hAnsi="Times New Roman" w:eastAsia="黑体"/>
          <w:color w:val="auto"/>
          <w:lang w:val="zh-CN"/>
        </w:rPr>
        <w:tab/>
      </w:r>
      <w:bookmarkStart w:id="5" w:name="_Toc7160"/>
      <w:r>
        <w:rPr>
          <w:rFonts w:ascii="Times New Roman" w:hAnsi="Times New Roman" w:eastAsia="黑体"/>
          <w:color w:val="auto"/>
          <w:lang w:val="zh-CN"/>
        </w:rPr>
        <w:t>目录</w:t>
      </w:r>
      <w:bookmarkEnd w:id="5"/>
    </w:p>
    <w:p>
      <w:pPr>
        <w:pStyle w:val="19"/>
        <w:tabs>
          <w:tab w:val="right" w:leader="dot" w:pos="9354"/>
          <w:tab w:val="clear" w:pos="9242"/>
        </w:tabs>
        <w:spacing w:before="78" w:after="78"/>
      </w:pPr>
      <w:r>
        <w:rPr>
          <w:rFonts w:ascii="Times New Roman" w:eastAsia="黑体"/>
          <w:sz w:val="24"/>
          <w:szCs w:val="24"/>
        </w:rPr>
        <w:fldChar w:fldCharType="begin"/>
      </w:r>
      <w:r>
        <w:rPr>
          <w:rFonts w:ascii="Times New Roman" w:eastAsia="黑体"/>
          <w:sz w:val="24"/>
          <w:szCs w:val="24"/>
        </w:rPr>
        <w:instrText xml:space="preserve"> TOC \o "1-3" \h \z \u </w:instrText>
      </w:r>
      <w:r>
        <w:rPr>
          <w:rFonts w:ascii="Times New Roman" w:eastAsia="黑体"/>
          <w:sz w:val="24"/>
          <w:szCs w:val="24"/>
        </w:rPr>
        <w:fldChar w:fldCharType="separate"/>
      </w:r>
      <w:r>
        <w:fldChar w:fldCharType="begin"/>
      </w:r>
      <w:r>
        <w:instrText xml:space="preserve"> HYPERLINK \l "_Toc7160" </w:instrText>
      </w:r>
      <w:r>
        <w:fldChar w:fldCharType="separate"/>
      </w:r>
      <w:r>
        <w:rPr>
          <w:rFonts w:ascii="Times New Roman" w:eastAsia="黑体"/>
          <w:lang w:val="zh-CN"/>
        </w:rPr>
        <w:t>目录</w:t>
      </w:r>
      <w:r>
        <w:tab/>
      </w:r>
      <w:r>
        <w:fldChar w:fldCharType="begin"/>
      </w:r>
      <w:r>
        <w:instrText xml:space="preserve"> PAGEREF _Toc7160 \h </w:instrText>
      </w:r>
      <w:r>
        <w:fldChar w:fldCharType="separate"/>
      </w:r>
      <w:r>
        <w:t>I</w:t>
      </w:r>
      <w:r>
        <w:fldChar w:fldCharType="end"/>
      </w:r>
      <w:r>
        <w:fldChar w:fldCharType="end"/>
      </w:r>
    </w:p>
    <w:p>
      <w:pPr>
        <w:pStyle w:val="19"/>
        <w:tabs>
          <w:tab w:val="right" w:leader="dot" w:pos="9354"/>
          <w:tab w:val="clear" w:pos="9242"/>
        </w:tabs>
        <w:spacing w:before="78" w:after="78"/>
      </w:pPr>
      <w:r>
        <w:fldChar w:fldCharType="begin"/>
      </w:r>
      <w:r>
        <w:instrText xml:space="preserve"> HYPERLINK \l "_Toc1440" </w:instrText>
      </w:r>
      <w:r>
        <w:fldChar w:fldCharType="separate"/>
      </w:r>
      <w:r>
        <w:rPr>
          <w:rFonts w:ascii="Times New Roman"/>
        </w:rPr>
        <w:t>前言</w:t>
      </w:r>
      <w:r>
        <w:tab/>
      </w:r>
      <w:r>
        <w:fldChar w:fldCharType="end"/>
      </w:r>
      <w:r>
        <w:rPr>
          <w:rFonts w:hint="eastAsia" w:ascii="Times New Roman"/>
          <w:bCs/>
        </w:rPr>
        <w:t>II</w:t>
      </w:r>
    </w:p>
    <w:p>
      <w:pPr>
        <w:pStyle w:val="19"/>
        <w:tabs>
          <w:tab w:val="right" w:leader="dot" w:pos="9354"/>
          <w:tab w:val="clear" w:pos="9242"/>
        </w:tabs>
        <w:spacing w:before="78" w:after="78"/>
      </w:pPr>
      <w:r>
        <w:fldChar w:fldCharType="begin"/>
      </w:r>
      <w:r>
        <w:instrText xml:space="preserve"> HYPERLINK \l "_Toc21213" </w:instrText>
      </w:r>
      <w:r>
        <w:fldChar w:fldCharType="separate"/>
      </w:r>
      <w:r>
        <w:rPr>
          <w:rFonts w:hint="eastAsia" w:ascii="Times New Roman"/>
        </w:rPr>
        <w:t>标准名称</w:t>
      </w:r>
      <w:r>
        <w:tab/>
      </w:r>
      <w:r>
        <w:fldChar w:fldCharType="begin"/>
      </w:r>
      <w:r>
        <w:instrText xml:space="preserve"> PAGEREF _Toc21213 \h </w:instrText>
      </w:r>
      <w:r>
        <w:fldChar w:fldCharType="separate"/>
      </w:r>
      <w:r>
        <w:t>1</w:t>
      </w:r>
      <w:r>
        <w:fldChar w:fldCharType="end"/>
      </w:r>
      <w:r>
        <w:fldChar w:fldCharType="end"/>
      </w:r>
    </w:p>
    <w:p>
      <w:pPr>
        <w:pStyle w:val="28"/>
        <w:tabs>
          <w:tab w:val="right" w:leader="dot" w:pos="9354"/>
          <w:tab w:val="clear" w:pos="9242"/>
        </w:tabs>
      </w:pPr>
      <w:r>
        <w:fldChar w:fldCharType="begin"/>
      </w:r>
      <w:r>
        <w:instrText xml:space="preserve"> HYPERLINK \l "_Toc12664" </w:instrText>
      </w:r>
      <w:r>
        <w:fldChar w:fldCharType="separate"/>
      </w:r>
      <w:r>
        <w:rPr>
          <w:rFonts w:hint="eastAsia" w:ascii="黑体" w:eastAsia="黑体"/>
        </w:rPr>
        <w:t xml:space="preserve">1 </w:t>
      </w:r>
      <w:r>
        <w:rPr>
          <w:rFonts w:ascii="Times New Roman"/>
          <w:szCs w:val="24"/>
        </w:rPr>
        <w:t>范围</w:t>
      </w:r>
      <w:r>
        <w:tab/>
      </w:r>
      <w:r>
        <w:fldChar w:fldCharType="begin"/>
      </w:r>
      <w:r>
        <w:instrText xml:space="preserve"> PAGEREF _Toc12664 \h </w:instrText>
      </w:r>
      <w:r>
        <w:fldChar w:fldCharType="separate"/>
      </w:r>
      <w:r>
        <w:t>1</w:t>
      </w:r>
      <w:r>
        <w:fldChar w:fldCharType="end"/>
      </w:r>
      <w:r>
        <w:fldChar w:fldCharType="end"/>
      </w:r>
    </w:p>
    <w:p>
      <w:pPr>
        <w:pStyle w:val="28"/>
        <w:tabs>
          <w:tab w:val="right" w:leader="dot" w:pos="9354"/>
          <w:tab w:val="clear" w:pos="9242"/>
        </w:tabs>
      </w:pPr>
      <w:r>
        <w:fldChar w:fldCharType="begin"/>
      </w:r>
      <w:r>
        <w:instrText xml:space="preserve"> HYPERLINK \l "_Toc9259" </w:instrText>
      </w:r>
      <w:r>
        <w:fldChar w:fldCharType="separate"/>
      </w:r>
      <w:r>
        <w:rPr>
          <w:rFonts w:hint="eastAsia" w:ascii="黑体" w:eastAsia="黑体"/>
        </w:rPr>
        <w:t xml:space="preserve">2 </w:t>
      </w:r>
      <w:r>
        <w:rPr>
          <w:rFonts w:ascii="Times New Roman"/>
          <w:szCs w:val="24"/>
        </w:rPr>
        <w:t>规范性引用文件</w:t>
      </w:r>
      <w:r>
        <w:tab/>
      </w:r>
      <w:r>
        <w:fldChar w:fldCharType="begin"/>
      </w:r>
      <w:r>
        <w:instrText xml:space="preserve"> PAGEREF _Toc9259 \h </w:instrText>
      </w:r>
      <w:r>
        <w:fldChar w:fldCharType="separate"/>
      </w:r>
      <w:r>
        <w:t>1</w:t>
      </w:r>
      <w:r>
        <w:fldChar w:fldCharType="end"/>
      </w:r>
      <w:r>
        <w:fldChar w:fldCharType="end"/>
      </w:r>
    </w:p>
    <w:p>
      <w:pPr>
        <w:pStyle w:val="28"/>
        <w:tabs>
          <w:tab w:val="right" w:leader="dot" w:pos="9354"/>
          <w:tab w:val="clear" w:pos="9242"/>
        </w:tabs>
      </w:pPr>
      <w:r>
        <w:fldChar w:fldCharType="begin"/>
      </w:r>
      <w:r>
        <w:instrText xml:space="preserve"> HYPERLINK \l "_Toc29013" </w:instrText>
      </w:r>
      <w:r>
        <w:fldChar w:fldCharType="separate"/>
      </w:r>
      <w:r>
        <w:rPr>
          <w:rFonts w:hint="eastAsia" w:ascii="黑体" w:eastAsia="黑体"/>
        </w:rPr>
        <w:t xml:space="preserve">3 </w:t>
      </w:r>
      <w:r>
        <w:rPr>
          <w:rFonts w:ascii="Times New Roman"/>
          <w:szCs w:val="24"/>
        </w:rPr>
        <w:t>术语和定义</w:t>
      </w:r>
      <w:r>
        <w:tab/>
      </w:r>
      <w:r>
        <w:fldChar w:fldCharType="begin"/>
      </w:r>
      <w:r>
        <w:instrText xml:space="preserve"> PAGEREF _Toc29013 \h </w:instrText>
      </w:r>
      <w:r>
        <w:fldChar w:fldCharType="separate"/>
      </w:r>
      <w:r>
        <w:t>1</w:t>
      </w:r>
      <w:r>
        <w:fldChar w:fldCharType="end"/>
      </w:r>
      <w:r>
        <w:fldChar w:fldCharType="end"/>
      </w:r>
    </w:p>
    <w:p>
      <w:pPr>
        <w:pStyle w:val="28"/>
        <w:tabs>
          <w:tab w:val="right" w:leader="dot" w:pos="9354"/>
          <w:tab w:val="clear" w:pos="9242"/>
        </w:tabs>
      </w:pPr>
      <w:r>
        <w:fldChar w:fldCharType="begin"/>
      </w:r>
      <w:r>
        <w:instrText xml:space="preserve"> HYPERLINK \l "_Toc18789" </w:instrText>
      </w:r>
      <w:r>
        <w:fldChar w:fldCharType="separate"/>
      </w:r>
      <w:r>
        <w:rPr>
          <w:rFonts w:hint="eastAsia" w:ascii="黑体" w:eastAsia="黑体"/>
          <w:kern w:val="0"/>
        </w:rPr>
        <w:t xml:space="preserve">3.1 </w:t>
      </w:r>
      <w:r>
        <w:rPr>
          <w:rFonts w:hint="eastAsia" w:ascii="Times New Roman"/>
          <w:szCs w:val="24"/>
          <w:lang w:val="en-US" w:eastAsia="zh-CN"/>
        </w:rPr>
        <w:t>分步协同</w:t>
      </w:r>
      <w:r>
        <w:rPr>
          <w:rFonts w:hint="eastAsia" w:ascii="Times New Roman"/>
          <w:szCs w:val="24"/>
        </w:rPr>
        <w:t>机收</w:t>
      </w:r>
      <w:r>
        <w:tab/>
      </w:r>
      <w:r>
        <w:fldChar w:fldCharType="begin"/>
      </w:r>
      <w:r>
        <w:instrText xml:space="preserve"> PAGEREF _Toc18789 \h </w:instrText>
      </w:r>
      <w:r>
        <w:fldChar w:fldCharType="separate"/>
      </w:r>
      <w:r>
        <w:t>1</w:t>
      </w:r>
      <w:r>
        <w:fldChar w:fldCharType="end"/>
      </w:r>
      <w:r>
        <w:fldChar w:fldCharType="end"/>
      </w:r>
    </w:p>
    <w:p>
      <w:pPr>
        <w:pStyle w:val="28"/>
        <w:tabs>
          <w:tab w:val="right" w:leader="dot" w:pos="9354"/>
          <w:tab w:val="clear" w:pos="9242"/>
        </w:tabs>
        <w:rPr>
          <w:rFonts w:ascii="Times New Roman"/>
          <w:bCs/>
          <w:lang w:val="zh-CN"/>
        </w:rPr>
      </w:pPr>
      <w:r>
        <w:fldChar w:fldCharType="begin"/>
      </w:r>
      <w:r>
        <w:instrText xml:space="preserve"> HYPERLINK \l "_Toc21929" </w:instrText>
      </w:r>
      <w:r>
        <w:fldChar w:fldCharType="separate"/>
      </w:r>
      <w:r>
        <w:rPr>
          <w:rFonts w:hint="eastAsia" w:ascii="黑体" w:eastAsia="黑体"/>
          <w:kern w:val="0"/>
        </w:rPr>
        <w:t xml:space="preserve">3.2 </w:t>
      </w:r>
      <w:r>
        <w:rPr>
          <w:rFonts w:hint="eastAsia" w:ascii="Times New Roman"/>
          <w:szCs w:val="24"/>
        </w:rPr>
        <w:t>割铺</w:t>
      </w:r>
      <w:r>
        <w:tab/>
      </w:r>
      <w:r>
        <w:fldChar w:fldCharType="begin"/>
      </w:r>
      <w:r>
        <w:instrText xml:space="preserve"> PAGEREF _Toc21929 \h </w:instrText>
      </w:r>
      <w:r>
        <w:fldChar w:fldCharType="separate"/>
      </w:r>
      <w:r>
        <w:t>1</w:t>
      </w:r>
      <w:r>
        <w:fldChar w:fldCharType="end"/>
      </w:r>
      <w:r>
        <w:fldChar w:fldCharType="end"/>
      </w:r>
    </w:p>
    <w:p>
      <w:pPr>
        <w:pStyle w:val="28"/>
        <w:tabs>
          <w:tab w:val="right" w:leader="dot" w:pos="9354"/>
          <w:tab w:val="clear" w:pos="9242"/>
        </w:tabs>
        <w:rPr>
          <w:rFonts w:ascii="Times New Roman"/>
          <w:szCs w:val="24"/>
        </w:rPr>
      </w:pPr>
      <w:r>
        <w:rPr>
          <w:rFonts w:hint="eastAsia" w:ascii="黑体" w:eastAsia="黑体"/>
          <w:kern w:val="0"/>
        </w:rPr>
        <w:t xml:space="preserve">3.3 </w:t>
      </w:r>
      <w:r>
        <w:rPr>
          <w:rFonts w:hint="eastAsia" w:ascii="Times New Roman"/>
          <w:szCs w:val="24"/>
        </w:rPr>
        <w:t>割堆</w:t>
      </w:r>
      <w:r>
        <w:tab/>
      </w:r>
      <w:r>
        <w:fldChar w:fldCharType="begin"/>
      </w:r>
      <w:r>
        <w:instrText xml:space="preserve"> PAGEREF _Toc21929 \h </w:instrText>
      </w:r>
      <w:r>
        <w:fldChar w:fldCharType="separate"/>
      </w:r>
      <w:r>
        <w:t>1</w:t>
      </w:r>
      <w:r>
        <w:fldChar w:fldCharType="end"/>
      </w:r>
    </w:p>
    <w:p>
      <w:pPr>
        <w:pStyle w:val="28"/>
        <w:tabs>
          <w:tab w:val="right" w:leader="dot" w:pos="9354"/>
          <w:tab w:val="clear" w:pos="9242"/>
        </w:tabs>
        <w:rPr>
          <w:rFonts w:ascii="Times New Roman"/>
          <w:szCs w:val="24"/>
        </w:rPr>
      </w:pPr>
      <w:r>
        <w:fldChar w:fldCharType="begin"/>
      </w:r>
      <w:r>
        <w:instrText xml:space="preserve"> HYPERLINK \l "_Toc23961" </w:instrText>
      </w:r>
      <w:r>
        <w:fldChar w:fldCharType="separate"/>
      </w:r>
      <w:r>
        <w:rPr>
          <w:rFonts w:hint="eastAsia" w:ascii="黑体" w:hAnsi="黑体" w:eastAsia="黑体" w:cs="黑体"/>
          <w:szCs w:val="24"/>
        </w:rPr>
        <w:t>3.4</w:t>
      </w:r>
      <w:r>
        <w:rPr>
          <w:rFonts w:hint="eastAsia" w:ascii="Times New Roman"/>
          <w:szCs w:val="24"/>
        </w:rPr>
        <w:t xml:space="preserve"> 集堆</w:t>
      </w:r>
      <w:r>
        <w:rPr>
          <w:rFonts w:hint="eastAsia" w:ascii="Times New Roman"/>
          <w:szCs w:val="24"/>
        </w:rPr>
        <w:tab/>
      </w:r>
      <w:r>
        <w:rPr>
          <w:rFonts w:hint="eastAsia" w:ascii="Times New Roman"/>
          <w:szCs w:val="24"/>
        </w:rPr>
        <w:fldChar w:fldCharType="begin"/>
      </w:r>
      <w:r>
        <w:rPr>
          <w:rFonts w:hint="eastAsia" w:ascii="Times New Roman"/>
          <w:szCs w:val="24"/>
        </w:rPr>
        <w:instrText xml:space="preserve"> PAGEREF _Toc23961 \h </w:instrText>
      </w:r>
      <w:r>
        <w:rPr>
          <w:rFonts w:hint="eastAsia" w:ascii="Times New Roman"/>
          <w:szCs w:val="24"/>
        </w:rPr>
        <w:fldChar w:fldCharType="separate"/>
      </w:r>
      <w:r>
        <w:rPr>
          <w:rFonts w:hint="eastAsia" w:ascii="Times New Roman"/>
          <w:szCs w:val="24"/>
        </w:rPr>
        <w:t>2</w:t>
      </w:r>
      <w:r>
        <w:rPr>
          <w:rFonts w:hint="eastAsia" w:ascii="Times New Roman"/>
          <w:szCs w:val="24"/>
        </w:rPr>
        <w:fldChar w:fldCharType="end"/>
      </w:r>
      <w:r>
        <w:rPr>
          <w:rFonts w:hint="eastAsia" w:ascii="Times New Roman"/>
          <w:szCs w:val="24"/>
        </w:rPr>
        <w:fldChar w:fldCharType="end"/>
      </w:r>
    </w:p>
    <w:p>
      <w:pPr>
        <w:pStyle w:val="28"/>
        <w:tabs>
          <w:tab w:val="right" w:leader="dot" w:pos="9354"/>
          <w:tab w:val="clear" w:pos="9242"/>
        </w:tabs>
        <w:rPr>
          <w:rFonts w:ascii="Times New Roman"/>
          <w:szCs w:val="24"/>
        </w:rPr>
      </w:pPr>
      <w:r>
        <w:fldChar w:fldCharType="begin"/>
      </w:r>
      <w:r>
        <w:instrText xml:space="preserve"> HYPERLINK \l "_Toc15561" </w:instrText>
      </w:r>
      <w:r>
        <w:fldChar w:fldCharType="separate"/>
      </w:r>
      <w:r>
        <w:rPr>
          <w:rFonts w:hint="eastAsia" w:ascii="黑体" w:hAnsi="黑体" w:eastAsia="黑体" w:cs="黑体"/>
          <w:szCs w:val="24"/>
        </w:rPr>
        <w:t>3.5</w:t>
      </w:r>
      <w:r>
        <w:rPr>
          <w:rFonts w:hint="eastAsia" w:ascii="黑体" w:hAnsi="黑体" w:eastAsia="黑体" w:cs="黑体"/>
          <w:szCs w:val="24"/>
          <w:lang w:val="en-US" w:eastAsia="zh-CN"/>
        </w:rPr>
        <w:t xml:space="preserve"> </w:t>
      </w:r>
      <w:r>
        <w:rPr>
          <w:rFonts w:hint="eastAsia" w:ascii="Times New Roman"/>
          <w:szCs w:val="24"/>
        </w:rPr>
        <w:t>转运</w:t>
      </w:r>
      <w:r>
        <w:rPr>
          <w:rFonts w:hint="eastAsia" w:ascii="Times New Roman"/>
          <w:szCs w:val="24"/>
        </w:rPr>
        <w:tab/>
      </w:r>
      <w:r>
        <w:rPr>
          <w:rFonts w:hint="eastAsia" w:ascii="Times New Roman"/>
          <w:szCs w:val="24"/>
        </w:rPr>
        <w:fldChar w:fldCharType="begin"/>
      </w:r>
      <w:r>
        <w:rPr>
          <w:rFonts w:hint="eastAsia" w:ascii="Times New Roman"/>
          <w:szCs w:val="24"/>
        </w:rPr>
        <w:instrText xml:space="preserve"> PAGEREF _Toc15561 \h </w:instrText>
      </w:r>
      <w:r>
        <w:rPr>
          <w:rFonts w:hint="eastAsia" w:ascii="Times New Roman"/>
          <w:szCs w:val="24"/>
        </w:rPr>
        <w:fldChar w:fldCharType="separate"/>
      </w:r>
      <w:r>
        <w:rPr>
          <w:rFonts w:hint="eastAsia" w:ascii="Times New Roman"/>
          <w:szCs w:val="24"/>
        </w:rPr>
        <w:t>2</w:t>
      </w:r>
      <w:r>
        <w:rPr>
          <w:rFonts w:hint="eastAsia" w:ascii="Times New Roman"/>
          <w:szCs w:val="24"/>
        </w:rPr>
        <w:fldChar w:fldCharType="end"/>
      </w:r>
      <w:r>
        <w:rPr>
          <w:rFonts w:hint="eastAsia" w:ascii="Times New Roman"/>
          <w:szCs w:val="24"/>
        </w:rPr>
        <w:fldChar w:fldCharType="end"/>
      </w:r>
    </w:p>
    <w:p>
      <w:pPr>
        <w:pStyle w:val="28"/>
        <w:tabs>
          <w:tab w:val="right" w:leader="dot" w:pos="9354"/>
          <w:tab w:val="clear" w:pos="9242"/>
        </w:tabs>
        <w:rPr>
          <w:rFonts w:ascii="Times New Roman"/>
          <w:szCs w:val="24"/>
        </w:rPr>
      </w:pPr>
      <w:r>
        <w:fldChar w:fldCharType="begin"/>
      </w:r>
      <w:r>
        <w:instrText xml:space="preserve"> HYPERLINK \l "_Toc24413" </w:instrText>
      </w:r>
      <w:r>
        <w:fldChar w:fldCharType="separate"/>
      </w:r>
      <w:r>
        <w:rPr>
          <w:rFonts w:hint="eastAsia" w:ascii="黑体" w:hAnsi="黑体" w:eastAsia="黑体" w:cs="黑体"/>
          <w:szCs w:val="24"/>
        </w:rPr>
        <w:t>3.6</w:t>
      </w:r>
      <w:r>
        <w:rPr>
          <w:rFonts w:hint="eastAsia" w:ascii="Times New Roman"/>
          <w:szCs w:val="24"/>
        </w:rPr>
        <w:t xml:space="preserve"> </w:t>
      </w:r>
      <w:r>
        <w:rPr>
          <w:rFonts w:hint="eastAsia" w:ascii="Times New Roman"/>
          <w:szCs w:val="24"/>
          <w:lang w:val="en-US" w:eastAsia="zh-CN"/>
        </w:rPr>
        <w:t>留茬</w:t>
      </w:r>
      <w:r>
        <w:rPr>
          <w:rFonts w:hint="eastAsia" w:ascii="Times New Roman"/>
          <w:szCs w:val="24"/>
        </w:rPr>
        <w:tab/>
      </w:r>
      <w:r>
        <w:rPr>
          <w:rFonts w:hint="eastAsia" w:ascii="Times New Roman"/>
          <w:szCs w:val="24"/>
        </w:rPr>
        <w:fldChar w:fldCharType="begin"/>
      </w:r>
      <w:r>
        <w:rPr>
          <w:rFonts w:hint="eastAsia" w:ascii="Times New Roman"/>
          <w:szCs w:val="24"/>
        </w:rPr>
        <w:instrText xml:space="preserve"> PAGEREF _Toc24413 \h </w:instrText>
      </w:r>
      <w:r>
        <w:rPr>
          <w:rFonts w:hint="eastAsia" w:ascii="Times New Roman"/>
          <w:szCs w:val="24"/>
        </w:rPr>
        <w:fldChar w:fldCharType="separate"/>
      </w:r>
      <w:r>
        <w:rPr>
          <w:rFonts w:hint="eastAsia" w:ascii="Times New Roman"/>
          <w:szCs w:val="24"/>
        </w:rPr>
        <w:t>2</w:t>
      </w:r>
      <w:r>
        <w:rPr>
          <w:rFonts w:hint="eastAsia" w:ascii="Times New Roman"/>
          <w:szCs w:val="24"/>
        </w:rPr>
        <w:fldChar w:fldCharType="end"/>
      </w:r>
      <w:r>
        <w:rPr>
          <w:rFonts w:hint="eastAsia" w:ascii="Times New Roman"/>
          <w:szCs w:val="24"/>
        </w:rPr>
        <w:fldChar w:fldCharType="end"/>
      </w:r>
    </w:p>
    <w:p>
      <w:pPr>
        <w:pStyle w:val="28"/>
        <w:tabs>
          <w:tab w:val="right" w:leader="dot" w:pos="9354"/>
          <w:tab w:val="clear" w:pos="9242"/>
        </w:tabs>
        <w:rPr>
          <w:rFonts w:ascii="Times New Roman"/>
          <w:szCs w:val="24"/>
        </w:rPr>
      </w:pPr>
      <w:r>
        <w:fldChar w:fldCharType="begin"/>
      </w:r>
      <w:r>
        <w:instrText xml:space="preserve"> HYPERLINK \l "_Toc24089" </w:instrText>
      </w:r>
      <w:r>
        <w:fldChar w:fldCharType="separate"/>
      </w:r>
      <w:r>
        <w:rPr>
          <w:rFonts w:hint="eastAsia" w:ascii="黑体" w:hAnsi="黑体" w:eastAsia="黑体" w:cs="黑体"/>
          <w:szCs w:val="24"/>
        </w:rPr>
        <w:t>3.7</w:t>
      </w:r>
      <w:r>
        <w:rPr>
          <w:rFonts w:hint="eastAsia" w:ascii="Times New Roman"/>
          <w:szCs w:val="24"/>
        </w:rPr>
        <w:t xml:space="preserve"> </w:t>
      </w:r>
      <w:r>
        <w:rPr>
          <w:rFonts w:hint="eastAsia" w:ascii="Times New Roman"/>
          <w:szCs w:val="24"/>
          <w:lang w:val="en-US" w:eastAsia="zh-CN"/>
        </w:rPr>
        <w:t>拔蔸</w:t>
      </w:r>
      <w:r>
        <w:rPr>
          <w:rFonts w:hint="eastAsia" w:ascii="Times New Roman"/>
          <w:szCs w:val="24"/>
        </w:rPr>
        <w:tab/>
      </w:r>
      <w:r>
        <w:rPr>
          <w:rFonts w:hint="eastAsia" w:ascii="Times New Roman"/>
          <w:szCs w:val="24"/>
        </w:rPr>
        <w:fldChar w:fldCharType="begin"/>
      </w:r>
      <w:r>
        <w:rPr>
          <w:rFonts w:hint="eastAsia" w:ascii="Times New Roman"/>
          <w:szCs w:val="24"/>
        </w:rPr>
        <w:instrText xml:space="preserve"> PAGEREF _Toc24089 \h </w:instrText>
      </w:r>
      <w:r>
        <w:rPr>
          <w:rFonts w:hint="eastAsia" w:ascii="Times New Roman"/>
          <w:szCs w:val="24"/>
        </w:rPr>
        <w:fldChar w:fldCharType="separate"/>
      </w:r>
      <w:r>
        <w:rPr>
          <w:rFonts w:hint="eastAsia" w:ascii="Times New Roman"/>
          <w:szCs w:val="24"/>
        </w:rPr>
        <w:t>2</w:t>
      </w:r>
      <w:r>
        <w:rPr>
          <w:rFonts w:hint="eastAsia" w:ascii="Times New Roman"/>
          <w:szCs w:val="24"/>
        </w:rPr>
        <w:fldChar w:fldCharType="end"/>
      </w:r>
      <w:r>
        <w:rPr>
          <w:rFonts w:hint="eastAsia" w:ascii="Times New Roman"/>
          <w:szCs w:val="24"/>
        </w:rPr>
        <w:fldChar w:fldCharType="end"/>
      </w:r>
    </w:p>
    <w:p>
      <w:pPr>
        <w:pStyle w:val="28"/>
        <w:tabs>
          <w:tab w:val="right" w:leader="dot" w:pos="9354"/>
          <w:tab w:val="clear" w:pos="9242"/>
        </w:tabs>
        <w:rPr>
          <w:rFonts w:hint="eastAsia" w:ascii="Times New Roman"/>
          <w:szCs w:val="24"/>
        </w:rPr>
      </w:pPr>
      <w:r>
        <w:fldChar w:fldCharType="begin"/>
      </w:r>
      <w:r>
        <w:instrText xml:space="preserve"> HYPERLINK \l "_Toc4096" </w:instrText>
      </w:r>
      <w:r>
        <w:fldChar w:fldCharType="separate"/>
      </w:r>
      <w:r>
        <w:rPr>
          <w:rFonts w:hint="eastAsia" w:ascii="黑体" w:hAnsi="黑体" w:eastAsia="黑体" w:cs="黑体"/>
          <w:szCs w:val="24"/>
        </w:rPr>
        <w:t>3.8</w:t>
      </w:r>
      <w:r>
        <w:rPr>
          <w:rFonts w:hint="eastAsia" w:ascii="Times New Roman"/>
          <w:szCs w:val="24"/>
        </w:rPr>
        <w:t xml:space="preserve"> </w:t>
      </w:r>
      <w:r>
        <w:rPr>
          <w:rFonts w:hint="eastAsia" w:ascii="Times New Roman"/>
          <w:szCs w:val="24"/>
          <w:lang w:val="en-US" w:eastAsia="zh-CN"/>
        </w:rPr>
        <w:t>整秆式除杂</w:t>
      </w:r>
      <w:r>
        <w:rPr>
          <w:rFonts w:hint="eastAsia" w:ascii="Times New Roman"/>
          <w:szCs w:val="24"/>
        </w:rPr>
        <w:tab/>
      </w:r>
      <w:r>
        <w:rPr>
          <w:rFonts w:hint="eastAsia" w:ascii="Times New Roman"/>
          <w:szCs w:val="24"/>
        </w:rPr>
        <w:fldChar w:fldCharType="begin"/>
      </w:r>
      <w:r>
        <w:rPr>
          <w:rFonts w:hint="eastAsia" w:ascii="Times New Roman"/>
          <w:szCs w:val="24"/>
        </w:rPr>
        <w:instrText xml:space="preserve"> PAGEREF _Toc4096 \h </w:instrText>
      </w:r>
      <w:r>
        <w:rPr>
          <w:rFonts w:hint="eastAsia" w:ascii="Times New Roman"/>
          <w:szCs w:val="24"/>
        </w:rPr>
        <w:fldChar w:fldCharType="separate"/>
      </w:r>
      <w:r>
        <w:rPr>
          <w:rFonts w:hint="eastAsia" w:ascii="Times New Roman"/>
          <w:szCs w:val="24"/>
        </w:rPr>
        <w:t>2</w:t>
      </w:r>
      <w:r>
        <w:rPr>
          <w:rFonts w:hint="eastAsia" w:ascii="Times New Roman"/>
          <w:szCs w:val="24"/>
        </w:rPr>
        <w:fldChar w:fldCharType="end"/>
      </w:r>
      <w:r>
        <w:rPr>
          <w:rFonts w:hint="eastAsia" w:ascii="Times New Roman"/>
          <w:szCs w:val="24"/>
        </w:rPr>
        <w:fldChar w:fldCharType="end"/>
      </w:r>
    </w:p>
    <w:p>
      <w:pPr>
        <w:rPr>
          <w:rFonts w:hint="default" w:eastAsia="宋体"/>
          <w:lang w:val="en-US" w:eastAsia="zh-CN"/>
        </w:rPr>
      </w:pPr>
      <w:r>
        <w:rPr>
          <w:rFonts w:hint="eastAsia" w:ascii="黑体" w:hAnsi="黑体" w:eastAsia="黑体" w:cs="黑体"/>
          <w:kern w:val="2"/>
          <w:sz w:val="21"/>
          <w:szCs w:val="24"/>
          <w:lang w:val="en-US" w:eastAsia="zh-CN" w:bidi="ar-SA"/>
        </w:rPr>
        <w:t>3.9</w:t>
      </w:r>
      <w:r>
        <w:rPr>
          <w:rFonts w:hint="eastAsia"/>
          <w:szCs w:val="24"/>
          <w:lang w:val="en-US" w:eastAsia="zh-CN"/>
        </w:rPr>
        <w:t xml:space="preserve"> 切段式除杂....................................................................................................................................................2</w:t>
      </w:r>
    </w:p>
    <w:p>
      <w:pPr>
        <w:pStyle w:val="28"/>
        <w:tabs>
          <w:tab w:val="right" w:leader="dot" w:pos="9354"/>
          <w:tab w:val="clear" w:pos="9242"/>
        </w:tabs>
        <w:rPr>
          <w:rFonts w:ascii="Times New Roman"/>
          <w:szCs w:val="24"/>
        </w:rPr>
      </w:pPr>
      <w:r>
        <w:fldChar w:fldCharType="begin"/>
      </w:r>
      <w:r>
        <w:instrText xml:space="preserve"> HYPERLINK \l "_Toc6402" </w:instrText>
      </w:r>
      <w:r>
        <w:fldChar w:fldCharType="separate"/>
      </w:r>
      <w:r>
        <w:rPr>
          <w:rFonts w:hint="eastAsia" w:ascii="黑体" w:hAnsi="黑体" w:eastAsia="黑体" w:cs="黑体"/>
          <w:szCs w:val="24"/>
        </w:rPr>
        <w:t>4</w:t>
      </w:r>
      <w:r>
        <w:rPr>
          <w:rFonts w:hint="eastAsia" w:ascii="Times New Roman"/>
          <w:szCs w:val="24"/>
        </w:rPr>
        <w:t xml:space="preserve"> 蔗地基本条件</w:t>
      </w:r>
      <w:r>
        <w:rPr>
          <w:rFonts w:hint="eastAsia" w:ascii="Times New Roman"/>
          <w:szCs w:val="24"/>
        </w:rPr>
        <w:tab/>
      </w:r>
      <w:r>
        <w:rPr>
          <w:rFonts w:hint="eastAsia" w:ascii="Times New Roman"/>
          <w:szCs w:val="24"/>
        </w:rPr>
        <w:fldChar w:fldCharType="begin"/>
      </w:r>
      <w:r>
        <w:rPr>
          <w:rFonts w:hint="eastAsia" w:ascii="Times New Roman"/>
          <w:szCs w:val="24"/>
        </w:rPr>
        <w:instrText xml:space="preserve"> PAGEREF _Toc6402 \h </w:instrText>
      </w:r>
      <w:r>
        <w:rPr>
          <w:rFonts w:hint="eastAsia" w:ascii="Times New Roman"/>
          <w:szCs w:val="24"/>
        </w:rPr>
        <w:fldChar w:fldCharType="separate"/>
      </w:r>
      <w:r>
        <w:rPr>
          <w:rFonts w:hint="eastAsia" w:ascii="Times New Roman"/>
          <w:szCs w:val="24"/>
        </w:rPr>
        <w:t>2</w:t>
      </w:r>
      <w:r>
        <w:rPr>
          <w:rFonts w:hint="eastAsia" w:ascii="Times New Roman"/>
          <w:szCs w:val="24"/>
        </w:rPr>
        <w:fldChar w:fldCharType="end"/>
      </w:r>
      <w:r>
        <w:rPr>
          <w:rFonts w:hint="eastAsia" w:ascii="Times New Roman"/>
          <w:szCs w:val="24"/>
        </w:rPr>
        <w:fldChar w:fldCharType="end"/>
      </w:r>
    </w:p>
    <w:p>
      <w:pPr>
        <w:pStyle w:val="28"/>
        <w:tabs>
          <w:tab w:val="right" w:leader="dot" w:pos="9354"/>
          <w:tab w:val="clear" w:pos="9242"/>
        </w:tabs>
        <w:rPr>
          <w:rFonts w:ascii="Times New Roman"/>
          <w:szCs w:val="24"/>
        </w:rPr>
      </w:pPr>
      <w:r>
        <w:fldChar w:fldCharType="begin"/>
      </w:r>
      <w:r>
        <w:instrText xml:space="preserve"> HYPERLINK \l "_Toc1713" </w:instrText>
      </w:r>
      <w:r>
        <w:fldChar w:fldCharType="separate"/>
      </w:r>
      <w:r>
        <w:rPr>
          <w:rFonts w:hint="eastAsia" w:ascii="黑体" w:hAnsi="黑体" w:eastAsia="黑体" w:cs="黑体"/>
          <w:szCs w:val="24"/>
        </w:rPr>
        <w:t>5</w:t>
      </w:r>
      <w:r>
        <w:rPr>
          <w:rFonts w:hint="eastAsia" w:ascii="Times New Roman"/>
          <w:szCs w:val="24"/>
        </w:rPr>
        <w:t xml:space="preserve"> </w:t>
      </w:r>
      <w:r>
        <w:rPr>
          <w:rFonts w:hint="eastAsia" w:ascii="Times New Roman"/>
          <w:szCs w:val="24"/>
          <w:lang w:eastAsia="zh-CN"/>
        </w:rPr>
        <w:t>分步</w:t>
      </w:r>
      <w:r>
        <w:rPr>
          <w:rFonts w:hint="eastAsia" w:ascii="Times New Roman"/>
          <w:szCs w:val="24"/>
          <w:lang w:val="en-US" w:eastAsia="zh-CN"/>
        </w:rPr>
        <w:t>式</w:t>
      </w:r>
      <w:r>
        <w:rPr>
          <w:rFonts w:hint="eastAsia" w:ascii="Times New Roman"/>
          <w:szCs w:val="24"/>
        </w:rPr>
        <w:t>机械化收割</w:t>
      </w:r>
      <w:r>
        <w:rPr>
          <w:rFonts w:hint="eastAsia" w:ascii="Times New Roman"/>
          <w:szCs w:val="24"/>
        </w:rPr>
        <w:tab/>
      </w:r>
      <w:r>
        <w:rPr>
          <w:rFonts w:hint="eastAsia" w:ascii="Times New Roman"/>
          <w:szCs w:val="24"/>
        </w:rPr>
        <w:fldChar w:fldCharType="begin"/>
      </w:r>
      <w:r>
        <w:rPr>
          <w:rFonts w:hint="eastAsia" w:ascii="Times New Roman"/>
          <w:szCs w:val="24"/>
        </w:rPr>
        <w:instrText xml:space="preserve"> PAGEREF _Toc1713 \h </w:instrText>
      </w:r>
      <w:r>
        <w:rPr>
          <w:rFonts w:hint="eastAsia" w:ascii="Times New Roman"/>
          <w:szCs w:val="24"/>
        </w:rPr>
        <w:fldChar w:fldCharType="separate"/>
      </w:r>
      <w:r>
        <w:rPr>
          <w:rFonts w:hint="eastAsia" w:ascii="Times New Roman"/>
          <w:szCs w:val="24"/>
        </w:rPr>
        <w:t>2</w:t>
      </w:r>
      <w:r>
        <w:rPr>
          <w:rFonts w:hint="eastAsia" w:ascii="Times New Roman"/>
          <w:szCs w:val="24"/>
        </w:rPr>
        <w:fldChar w:fldCharType="end"/>
      </w:r>
      <w:r>
        <w:rPr>
          <w:rFonts w:hint="eastAsia" w:ascii="Times New Roman"/>
          <w:szCs w:val="24"/>
        </w:rPr>
        <w:fldChar w:fldCharType="end"/>
      </w:r>
    </w:p>
    <w:p>
      <w:pPr>
        <w:pStyle w:val="28"/>
        <w:tabs>
          <w:tab w:val="right" w:leader="dot" w:pos="9354"/>
          <w:tab w:val="clear" w:pos="9242"/>
        </w:tabs>
        <w:rPr>
          <w:rFonts w:ascii="Times New Roman"/>
          <w:szCs w:val="24"/>
        </w:rPr>
      </w:pPr>
      <w:r>
        <w:fldChar w:fldCharType="begin"/>
      </w:r>
      <w:r>
        <w:instrText xml:space="preserve"> HYPERLINK \l "_Toc25139" </w:instrText>
      </w:r>
      <w:r>
        <w:fldChar w:fldCharType="separate"/>
      </w:r>
      <w:r>
        <w:rPr>
          <w:rFonts w:hint="eastAsia" w:ascii="黑体" w:hAnsi="黑体" w:eastAsia="黑体" w:cs="黑体"/>
          <w:szCs w:val="24"/>
        </w:rPr>
        <w:t>5.1</w:t>
      </w:r>
      <w:r>
        <w:rPr>
          <w:rFonts w:hint="eastAsia" w:ascii="Times New Roman"/>
          <w:szCs w:val="24"/>
        </w:rPr>
        <w:t xml:space="preserve"> 蔗地勘查</w:t>
      </w:r>
      <w:r>
        <w:rPr>
          <w:rFonts w:hint="eastAsia" w:ascii="Times New Roman"/>
          <w:szCs w:val="24"/>
        </w:rPr>
        <w:tab/>
      </w:r>
      <w:r>
        <w:rPr>
          <w:rFonts w:hint="eastAsia" w:ascii="Times New Roman"/>
          <w:szCs w:val="24"/>
        </w:rPr>
        <w:fldChar w:fldCharType="begin"/>
      </w:r>
      <w:r>
        <w:rPr>
          <w:rFonts w:hint="eastAsia" w:ascii="Times New Roman"/>
          <w:szCs w:val="24"/>
        </w:rPr>
        <w:instrText xml:space="preserve"> PAGEREF _Toc25139 \h </w:instrText>
      </w:r>
      <w:r>
        <w:rPr>
          <w:rFonts w:hint="eastAsia" w:ascii="Times New Roman"/>
          <w:szCs w:val="24"/>
        </w:rPr>
        <w:fldChar w:fldCharType="separate"/>
      </w:r>
      <w:r>
        <w:rPr>
          <w:rFonts w:hint="eastAsia" w:ascii="Times New Roman"/>
          <w:szCs w:val="24"/>
        </w:rPr>
        <w:t>3</w:t>
      </w:r>
      <w:r>
        <w:rPr>
          <w:rFonts w:hint="eastAsia" w:ascii="Times New Roman"/>
          <w:szCs w:val="24"/>
        </w:rPr>
        <w:fldChar w:fldCharType="end"/>
      </w:r>
      <w:r>
        <w:rPr>
          <w:rFonts w:hint="eastAsia" w:ascii="Times New Roman"/>
          <w:szCs w:val="24"/>
        </w:rPr>
        <w:fldChar w:fldCharType="end"/>
      </w:r>
    </w:p>
    <w:p>
      <w:pPr>
        <w:pStyle w:val="28"/>
        <w:tabs>
          <w:tab w:val="right" w:leader="dot" w:pos="9354"/>
          <w:tab w:val="clear" w:pos="9242"/>
        </w:tabs>
        <w:rPr>
          <w:rFonts w:ascii="Times New Roman"/>
          <w:szCs w:val="24"/>
        </w:rPr>
      </w:pPr>
      <w:r>
        <w:fldChar w:fldCharType="begin"/>
      </w:r>
      <w:r>
        <w:instrText xml:space="preserve"> HYPERLINK \l "_Toc8715" </w:instrText>
      </w:r>
      <w:r>
        <w:fldChar w:fldCharType="separate"/>
      </w:r>
      <w:r>
        <w:rPr>
          <w:rFonts w:hint="eastAsia" w:ascii="黑体" w:hAnsi="黑体" w:eastAsia="黑体" w:cs="黑体"/>
          <w:szCs w:val="24"/>
        </w:rPr>
        <w:t>5.2</w:t>
      </w:r>
      <w:r>
        <w:rPr>
          <w:rFonts w:hint="eastAsia" w:ascii="Times New Roman"/>
          <w:szCs w:val="24"/>
        </w:rPr>
        <w:t xml:space="preserve"> 割铺</w:t>
      </w:r>
      <w:r>
        <w:rPr>
          <w:rFonts w:hint="eastAsia" w:ascii="Times New Roman"/>
          <w:szCs w:val="24"/>
          <w:lang w:eastAsia="zh-CN"/>
        </w:rPr>
        <w:t>（</w:t>
      </w:r>
      <w:r>
        <w:rPr>
          <w:rFonts w:hint="eastAsia" w:ascii="Times New Roman"/>
          <w:szCs w:val="24"/>
          <w:lang w:val="en-US" w:eastAsia="zh-CN"/>
        </w:rPr>
        <w:t>堆</w:t>
      </w:r>
      <w:r>
        <w:rPr>
          <w:rFonts w:hint="eastAsia" w:ascii="Times New Roman"/>
          <w:szCs w:val="24"/>
          <w:lang w:eastAsia="zh-CN"/>
        </w:rPr>
        <w:t>）</w:t>
      </w:r>
      <w:r>
        <w:rPr>
          <w:rFonts w:hint="eastAsia" w:ascii="Times New Roman"/>
          <w:szCs w:val="24"/>
        </w:rPr>
        <w:tab/>
      </w:r>
      <w:r>
        <w:rPr>
          <w:rFonts w:hint="eastAsia" w:ascii="Times New Roman"/>
          <w:szCs w:val="24"/>
        </w:rPr>
        <w:fldChar w:fldCharType="begin"/>
      </w:r>
      <w:r>
        <w:rPr>
          <w:rFonts w:hint="eastAsia" w:ascii="Times New Roman"/>
          <w:szCs w:val="24"/>
        </w:rPr>
        <w:instrText xml:space="preserve"> PAGEREF _Toc8715 \h </w:instrText>
      </w:r>
      <w:r>
        <w:rPr>
          <w:rFonts w:hint="eastAsia" w:ascii="Times New Roman"/>
          <w:szCs w:val="24"/>
        </w:rPr>
        <w:fldChar w:fldCharType="separate"/>
      </w:r>
      <w:r>
        <w:rPr>
          <w:rFonts w:hint="eastAsia" w:ascii="Times New Roman"/>
          <w:szCs w:val="24"/>
        </w:rPr>
        <w:t>3</w:t>
      </w:r>
      <w:r>
        <w:rPr>
          <w:rFonts w:hint="eastAsia" w:ascii="Times New Roman"/>
          <w:szCs w:val="24"/>
        </w:rPr>
        <w:fldChar w:fldCharType="end"/>
      </w:r>
      <w:r>
        <w:rPr>
          <w:rFonts w:hint="eastAsia" w:ascii="Times New Roman"/>
          <w:szCs w:val="24"/>
        </w:rPr>
        <w:fldChar w:fldCharType="end"/>
      </w:r>
    </w:p>
    <w:p>
      <w:pPr>
        <w:pStyle w:val="28"/>
        <w:tabs>
          <w:tab w:val="right" w:leader="dot" w:pos="9354"/>
          <w:tab w:val="clear" w:pos="9242"/>
        </w:tabs>
        <w:rPr>
          <w:rFonts w:ascii="Times New Roman"/>
          <w:szCs w:val="24"/>
        </w:rPr>
      </w:pPr>
      <w:r>
        <w:fldChar w:fldCharType="begin"/>
      </w:r>
      <w:r>
        <w:instrText xml:space="preserve"> HYPERLINK \l "_Toc22286" </w:instrText>
      </w:r>
      <w:r>
        <w:fldChar w:fldCharType="separate"/>
      </w:r>
      <w:r>
        <w:rPr>
          <w:rFonts w:hint="eastAsia" w:ascii="黑体" w:hAnsi="黑体" w:eastAsia="黑体" w:cs="黑体"/>
          <w:szCs w:val="24"/>
        </w:rPr>
        <w:t>5.3</w:t>
      </w:r>
      <w:r>
        <w:rPr>
          <w:rFonts w:hint="eastAsia" w:ascii="Times New Roman"/>
          <w:szCs w:val="24"/>
        </w:rPr>
        <w:t xml:space="preserve"> 集堆与田间转运</w:t>
      </w:r>
      <w:r>
        <w:rPr>
          <w:rFonts w:hint="eastAsia" w:ascii="Times New Roman"/>
          <w:szCs w:val="24"/>
        </w:rPr>
        <w:tab/>
      </w:r>
      <w:r>
        <w:rPr>
          <w:rFonts w:hint="eastAsia" w:ascii="Times New Roman"/>
          <w:szCs w:val="24"/>
        </w:rPr>
        <w:fldChar w:fldCharType="begin"/>
      </w:r>
      <w:r>
        <w:rPr>
          <w:rFonts w:hint="eastAsia" w:ascii="Times New Roman"/>
          <w:szCs w:val="24"/>
        </w:rPr>
        <w:instrText xml:space="preserve"> PAGEREF _Toc22286 \h </w:instrText>
      </w:r>
      <w:r>
        <w:rPr>
          <w:rFonts w:hint="eastAsia" w:ascii="Times New Roman"/>
          <w:szCs w:val="24"/>
        </w:rPr>
        <w:fldChar w:fldCharType="separate"/>
      </w:r>
      <w:r>
        <w:rPr>
          <w:rFonts w:hint="eastAsia" w:ascii="Times New Roman"/>
          <w:szCs w:val="24"/>
        </w:rPr>
        <w:t>3</w:t>
      </w:r>
      <w:r>
        <w:rPr>
          <w:rFonts w:hint="eastAsia" w:ascii="Times New Roman"/>
          <w:szCs w:val="24"/>
        </w:rPr>
        <w:fldChar w:fldCharType="end"/>
      </w:r>
      <w:r>
        <w:rPr>
          <w:rFonts w:hint="eastAsia" w:ascii="Times New Roman"/>
          <w:szCs w:val="24"/>
        </w:rPr>
        <w:fldChar w:fldCharType="end"/>
      </w:r>
    </w:p>
    <w:p>
      <w:pPr>
        <w:pStyle w:val="28"/>
        <w:tabs>
          <w:tab w:val="right" w:leader="dot" w:pos="9354"/>
          <w:tab w:val="clear" w:pos="9242"/>
        </w:tabs>
        <w:rPr>
          <w:rFonts w:ascii="Times New Roman"/>
          <w:szCs w:val="24"/>
        </w:rPr>
      </w:pPr>
      <w:r>
        <w:fldChar w:fldCharType="begin"/>
      </w:r>
      <w:r>
        <w:instrText xml:space="preserve"> HYPERLINK \l "_Toc20075" </w:instrText>
      </w:r>
      <w:r>
        <w:fldChar w:fldCharType="separate"/>
      </w:r>
      <w:r>
        <w:rPr>
          <w:rFonts w:hint="eastAsia" w:ascii="黑体" w:hAnsi="黑体" w:eastAsia="黑体" w:cs="黑体"/>
          <w:szCs w:val="24"/>
        </w:rPr>
        <w:t xml:space="preserve">5.4 </w:t>
      </w:r>
      <w:r>
        <w:rPr>
          <w:rFonts w:hint="eastAsia" w:ascii="Times New Roman"/>
          <w:szCs w:val="24"/>
        </w:rPr>
        <w:t>田头转装与道路运输</w:t>
      </w:r>
      <w:r>
        <w:rPr>
          <w:rFonts w:hint="eastAsia" w:ascii="Times New Roman"/>
          <w:szCs w:val="24"/>
        </w:rPr>
        <w:tab/>
      </w:r>
      <w:r>
        <w:rPr>
          <w:rFonts w:hint="eastAsia" w:ascii="Times New Roman"/>
          <w:szCs w:val="24"/>
        </w:rPr>
        <w:fldChar w:fldCharType="begin"/>
      </w:r>
      <w:r>
        <w:rPr>
          <w:rFonts w:hint="eastAsia" w:ascii="Times New Roman"/>
          <w:szCs w:val="24"/>
        </w:rPr>
        <w:instrText xml:space="preserve"> PAGEREF _Toc20075 \h </w:instrText>
      </w:r>
      <w:r>
        <w:rPr>
          <w:rFonts w:hint="eastAsia" w:ascii="Times New Roman"/>
          <w:szCs w:val="24"/>
        </w:rPr>
        <w:fldChar w:fldCharType="separate"/>
      </w:r>
      <w:r>
        <w:rPr>
          <w:rFonts w:hint="eastAsia" w:ascii="Times New Roman"/>
          <w:szCs w:val="24"/>
        </w:rPr>
        <w:t>3</w:t>
      </w:r>
      <w:r>
        <w:rPr>
          <w:rFonts w:hint="eastAsia" w:ascii="Times New Roman"/>
          <w:szCs w:val="24"/>
        </w:rPr>
        <w:fldChar w:fldCharType="end"/>
      </w:r>
      <w:r>
        <w:rPr>
          <w:rFonts w:hint="eastAsia" w:ascii="Times New Roman"/>
          <w:szCs w:val="24"/>
        </w:rPr>
        <w:fldChar w:fldCharType="end"/>
      </w:r>
    </w:p>
    <w:p>
      <w:pPr>
        <w:pStyle w:val="28"/>
        <w:tabs>
          <w:tab w:val="right" w:leader="dot" w:pos="9354"/>
          <w:tab w:val="clear" w:pos="9242"/>
        </w:tabs>
        <w:rPr>
          <w:rFonts w:hint="eastAsia" w:ascii="Times New Roman"/>
          <w:szCs w:val="24"/>
        </w:rPr>
      </w:pPr>
      <w:r>
        <w:fldChar w:fldCharType="begin"/>
      </w:r>
      <w:r>
        <w:instrText xml:space="preserve"> HYPERLINK \l "_Toc24913" </w:instrText>
      </w:r>
      <w:r>
        <w:fldChar w:fldCharType="separate"/>
      </w:r>
      <w:r>
        <w:rPr>
          <w:rFonts w:hint="eastAsia" w:ascii="黑体" w:hAnsi="黑体" w:eastAsia="黑体" w:cs="黑体"/>
          <w:szCs w:val="24"/>
        </w:rPr>
        <w:t>6</w:t>
      </w:r>
      <w:r>
        <w:rPr>
          <w:rFonts w:hint="eastAsia" w:ascii="Times New Roman"/>
          <w:szCs w:val="24"/>
        </w:rPr>
        <w:t xml:space="preserve"> 集中除杂</w:t>
      </w:r>
      <w:r>
        <w:rPr>
          <w:rFonts w:hint="eastAsia" w:ascii="Times New Roman"/>
          <w:szCs w:val="24"/>
        </w:rPr>
        <w:tab/>
      </w:r>
      <w:r>
        <w:rPr>
          <w:rFonts w:hint="eastAsia" w:ascii="Times New Roman"/>
          <w:szCs w:val="24"/>
        </w:rPr>
        <w:fldChar w:fldCharType="begin"/>
      </w:r>
      <w:r>
        <w:rPr>
          <w:rFonts w:hint="eastAsia" w:ascii="Times New Roman"/>
          <w:szCs w:val="24"/>
        </w:rPr>
        <w:instrText xml:space="preserve"> PAGEREF _Toc24913 \h </w:instrText>
      </w:r>
      <w:r>
        <w:rPr>
          <w:rFonts w:hint="eastAsia" w:ascii="Times New Roman"/>
          <w:szCs w:val="24"/>
        </w:rPr>
        <w:fldChar w:fldCharType="separate"/>
      </w:r>
      <w:r>
        <w:rPr>
          <w:rFonts w:hint="eastAsia" w:ascii="Times New Roman"/>
          <w:szCs w:val="24"/>
        </w:rPr>
        <w:t>3</w:t>
      </w:r>
      <w:r>
        <w:rPr>
          <w:rFonts w:hint="eastAsia" w:ascii="Times New Roman"/>
          <w:szCs w:val="24"/>
        </w:rPr>
        <w:fldChar w:fldCharType="end"/>
      </w:r>
      <w:r>
        <w:rPr>
          <w:rFonts w:hint="eastAsia" w:ascii="Times New Roman"/>
          <w:szCs w:val="24"/>
        </w:rPr>
        <w:fldChar w:fldCharType="end"/>
      </w:r>
    </w:p>
    <w:p>
      <w:pPr>
        <w:rPr>
          <w:rFonts w:hint="default" w:eastAsia="宋体"/>
          <w:lang w:val="en-US" w:eastAsia="zh-CN"/>
        </w:rPr>
      </w:pPr>
      <w:r>
        <w:rPr>
          <w:rFonts w:hint="eastAsia" w:ascii="黑体" w:hAnsi="黑体" w:eastAsia="黑体" w:cs="黑体"/>
          <w:kern w:val="2"/>
          <w:sz w:val="21"/>
          <w:szCs w:val="24"/>
          <w:lang w:val="en-US" w:eastAsia="zh-CN" w:bidi="ar-SA"/>
        </w:rPr>
        <w:t>7</w:t>
      </w:r>
      <w:r>
        <w:rPr>
          <w:rFonts w:hint="eastAsia"/>
          <w:szCs w:val="24"/>
          <w:lang w:val="en-US" w:eastAsia="zh-CN"/>
        </w:rPr>
        <w:t xml:space="preserve"> 作业质量要求....................................................................................................................................................4</w:t>
      </w:r>
    </w:p>
    <w:p>
      <w:pPr>
        <w:pStyle w:val="12"/>
        <w:tabs>
          <w:tab w:val="right" w:leader="dot" w:pos="9354"/>
          <w:tab w:val="clear" w:pos="9241"/>
        </w:tabs>
        <w:ind w:firstLine="210"/>
      </w:pPr>
    </w:p>
    <w:p>
      <w:pPr>
        <w:pStyle w:val="127"/>
        <w:rPr>
          <w:rFonts w:ascii="Times New Roman"/>
        </w:rPr>
      </w:pPr>
      <w:r>
        <w:rPr>
          <w:rFonts w:ascii="Times New Roman"/>
          <w:bCs/>
          <w:lang w:val="zh-CN"/>
        </w:rPr>
        <w:fldChar w:fldCharType="end"/>
      </w:r>
      <w:bookmarkStart w:id="6" w:name="_Toc144901823"/>
      <w:bookmarkStart w:id="7" w:name="_Toc1440"/>
      <w:r>
        <w:rPr>
          <w:rFonts w:ascii="Times New Roman"/>
        </w:rPr>
        <w:t>前</w:t>
      </w:r>
      <w:bookmarkStart w:id="8" w:name="BKQY"/>
      <w:r>
        <w:rPr>
          <w:rFonts w:ascii="Times New Roman"/>
        </w:rPr>
        <w:t>  言</w:t>
      </w:r>
      <w:bookmarkEnd w:id="6"/>
      <w:bookmarkEnd w:id="7"/>
      <w:bookmarkEnd w:id="8"/>
    </w:p>
    <w:p>
      <w:pPr>
        <w:pStyle w:val="23"/>
        <w:rPr>
          <w:rFonts w:ascii="Times New Roman"/>
        </w:rPr>
      </w:pPr>
      <w:r>
        <w:rPr>
          <w:rFonts w:ascii="Times New Roman"/>
        </w:rPr>
        <w:t>本文件按照GB/T1.1-2020《标准化工作导则第1部分：标准化文件的结构和起草规则》的规定起草。</w:t>
      </w:r>
    </w:p>
    <w:p>
      <w:pPr>
        <w:pStyle w:val="23"/>
        <w:rPr>
          <w:rFonts w:ascii="Times New Roman"/>
        </w:rPr>
      </w:pPr>
      <w:r>
        <w:rPr>
          <w:rFonts w:ascii="Times New Roman"/>
        </w:rPr>
        <w:t>请注意本文件的某些内容可能涉及专利。本文件的发布机构不承担识别专利的责任。</w:t>
      </w:r>
    </w:p>
    <w:p>
      <w:pPr>
        <w:pStyle w:val="23"/>
        <w:rPr>
          <w:rFonts w:ascii="Times New Roman"/>
        </w:rPr>
      </w:pPr>
      <w:r>
        <w:rPr>
          <w:rFonts w:ascii="Times New Roman"/>
        </w:rPr>
        <w:t>本文件由</w:t>
      </w:r>
      <w:r>
        <w:rPr>
          <w:rFonts w:hint="eastAsia" w:ascii="Times New Roman"/>
        </w:rPr>
        <w:t>福建农林大学</w:t>
      </w:r>
      <w:r>
        <w:rPr>
          <w:rFonts w:ascii="Times New Roman"/>
        </w:rPr>
        <w:t>提出。</w:t>
      </w:r>
    </w:p>
    <w:p>
      <w:pPr>
        <w:pStyle w:val="23"/>
        <w:rPr>
          <w:rFonts w:ascii="Times New Roman"/>
        </w:rPr>
      </w:pPr>
      <w:r>
        <w:rPr>
          <w:rFonts w:ascii="Times New Roman"/>
        </w:rPr>
        <w:t>本文件由中国农业技术推广协会归口。</w:t>
      </w:r>
    </w:p>
    <w:p>
      <w:pPr>
        <w:pStyle w:val="23"/>
        <w:rPr>
          <w:rFonts w:ascii="Times New Roman"/>
        </w:rPr>
      </w:pPr>
      <w:r>
        <w:rPr>
          <w:rFonts w:ascii="Times New Roman"/>
        </w:rPr>
        <w:t>本文件起草单位：</w:t>
      </w:r>
      <w:r>
        <w:rPr>
          <w:rFonts w:hint="eastAsia" w:ascii="Times New Roman"/>
        </w:rPr>
        <w:t>福建农林大学、</w:t>
      </w:r>
      <w:r>
        <w:rPr>
          <w:rFonts w:ascii="Times New Roman"/>
        </w:rPr>
        <w:t>全国农业技术推广服务中心、云南省农业科学院</w:t>
      </w:r>
      <w:r>
        <w:rPr>
          <w:rFonts w:hint="eastAsia" w:ascii="Times New Roman"/>
        </w:rPr>
        <w:t>甘蔗研究所</w:t>
      </w:r>
      <w:r>
        <w:rPr>
          <w:rFonts w:ascii="Times New Roman"/>
        </w:rPr>
        <w:t>、</w:t>
      </w:r>
      <w:r>
        <w:rPr>
          <w:rFonts w:hint="eastAsia" w:ascii="Times New Roman"/>
        </w:rPr>
        <w:t>广西农业机械研究院有限公司、华南农业大学、广西壮族自治区农业科学院甘蔗研究所、广东省科学院南繁种业研究所</w:t>
      </w:r>
      <w:r>
        <w:rPr>
          <w:rFonts w:hint="eastAsia" w:ascii="Times New Roman"/>
          <w:lang w:eastAsia="zh-CN"/>
        </w:rPr>
        <w:t>、</w:t>
      </w:r>
      <w:r>
        <w:rPr>
          <w:rFonts w:hint="eastAsia" w:ascii="Times New Roman"/>
          <w:lang w:val="en-US" w:eastAsia="zh-CN"/>
        </w:rPr>
        <w:t>中国热带农业科学院热带生物技术研究所</w:t>
      </w:r>
      <w:r>
        <w:rPr>
          <w:rFonts w:ascii="Times New Roman"/>
        </w:rPr>
        <w:t>。</w:t>
      </w:r>
    </w:p>
    <w:p>
      <w:pPr>
        <w:pStyle w:val="23"/>
        <w:rPr>
          <w:rFonts w:ascii="Times New Roman"/>
        </w:rPr>
      </w:pPr>
      <w:r>
        <w:rPr>
          <w:rFonts w:ascii="Times New Roman"/>
        </w:rPr>
        <w:t>本文件主要起草人：</w:t>
      </w:r>
      <w:r>
        <w:rPr>
          <w:rFonts w:hint="eastAsia" w:ascii="Times New Roman"/>
        </w:rPr>
        <w:t xml:space="preserve">张华 </w:t>
      </w:r>
      <w:r>
        <w:rPr>
          <w:rFonts w:ascii="Times New Roman"/>
        </w:rPr>
        <w:t>张跃彬 陈常兵</w:t>
      </w:r>
      <w:r>
        <w:rPr>
          <w:rFonts w:hint="eastAsia" w:ascii="Times New Roman"/>
        </w:rPr>
        <w:t xml:space="preserve"> </w:t>
      </w:r>
      <w:r>
        <w:rPr>
          <w:rFonts w:ascii="Times New Roman"/>
        </w:rPr>
        <w:t>郭家文</w:t>
      </w:r>
      <w:r>
        <w:rPr>
          <w:rFonts w:hint="eastAsia" w:ascii="Times New Roman"/>
        </w:rPr>
        <w:t xml:space="preserve"> 莫建霖 刘庆庭 王维赞 </w:t>
      </w:r>
      <w:r>
        <w:rPr>
          <w:rFonts w:hint="eastAsia" w:ascii="Times New Roman"/>
          <w:lang w:val="en-US" w:eastAsia="zh-CN"/>
        </w:rPr>
        <w:t xml:space="preserve">吴建明 </w:t>
      </w:r>
      <w:r>
        <w:rPr>
          <w:rFonts w:hint="eastAsia" w:ascii="Times New Roman"/>
        </w:rPr>
        <w:t>胡朝晖 杨丹彤 张智刚 罗俊 李诗燕 林兆里</w:t>
      </w:r>
      <w:r>
        <w:rPr>
          <w:rFonts w:hint="eastAsia" w:ascii="Times New Roman"/>
          <w:lang w:val="en-US" w:eastAsia="zh-CN"/>
        </w:rPr>
        <w:t xml:space="preserve"> 彭李顺</w:t>
      </w:r>
      <w:r>
        <w:rPr>
          <w:rFonts w:hint="eastAsia" w:ascii="Times New Roman"/>
        </w:rPr>
        <w:t xml:space="preserve">。 </w:t>
      </w:r>
    </w:p>
    <w:p>
      <w:r>
        <w:rPr>
          <w:rFonts w:hint="eastAsia"/>
        </w:rPr>
        <w:t xml:space="preserve"> </w:t>
      </w:r>
    </w:p>
    <w:p/>
    <w:p>
      <w:pPr>
        <w:pStyle w:val="127"/>
        <w:jc w:val="both"/>
        <w:rPr>
          <w:rFonts w:ascii="Times New Roman"/>
        </w:rPr>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p>
    <w:p>
      <w:pPr>
        <w:pStyle w:val="96"/>
        <w:rPr>
          <w:rFonts w:ascii="Times New Roman"/>
        </w:rPr>
      </w:pPr>
      <w:r>
        <w:rPr>
          <w:rFonts w:ascii="Times New Roman"/>
        </w:rPr>
        <w:tab/>
      </w:r>
      <w:bookmarkStart w:id="9" w:name="_Toc21213"/>
      <w:r>
        <w:rPr>
          <w:rFonts w:hint="eastAsia" w:ascii="Times New Roman"/>
        </w:rPr>
        <w:t>甘蔗</w:t>
      </w:r>
      <w:r>
        <w:rPr>
          <w:rFonts w:hint="eastAsia" w:ascii="Times New Roman"/>
          <w:lang w:eastAsia="zh-CN"/>
        </w:rPr>
        <w:t>分步</w:t>
      </w:r>
      <w:r>
        <w:rPr>
          <w:rFonts w:hint="eastAsia" w:ascii="Times New Roman"/>
          <w:lang w:val="en-US" w:eastAsia="zh-CN"/>
        </w:rPr>
        <w:t>协同</w:t>
      </w:r>
      <w:r>
        <w:rPr>
          <w:rFonts w:hint="eastAsia" w:ascii="Times New Roman"/>
        </w:rPr>
        <w:t>机收技术规程</w:t>
      </w:r>
      <w:bookmarkEnd w:id="9"/>
    </w:p>
    <w:p>
      <w:pPr>
        <w:pStyle w:val="60"/>
        <w:rPr>
          <w:rFonts w:ascii="Times New Roman"/>
          <w:color w:val="000000"/>
          <w:sz w:val="24"/>
          <w:szCs w:val="24"/>
        </w:rPr>
      </w:pPr>
      <w:bookmarkStart w:id="10" w:name="_Toc12664"/>
      <w:bookmarkStart w:id="11" w:name="_Toc144901825"/>
      <w:r>
        <w:rPr>
          <w:rFonts w:ascii="Times New Roman"/>
          <w:color w:val="000000"/>
          <w:sz w:val="24"/>
          <w:szCs w:val="24"/>
        </w:rPr>
        <w:t>范围</w:t>
      </w:r>
      <w:bookmarkEnd w:id="10"/>
      <w:bookmarkEnd w:id="11"/>
    </w:p>
    <w:p>
      <w:pPr>
        <w:widowControl/>
        <w:shd w:val="clear" w:color="auto" w:fill="FFFFFF"/>
        <w:spacing w:before="156" w:beforeLines="50" w:after="156" w:afterLines="50" w:line="360" w:lineRule="auto"/>
        <w:ind w:firstLine="480" w:firstLineChars="200"/>
        <w:jc w:val="left"/>
        <w:outlineLvl w:val="0"/>
        <w:rPr>
          <w:kern w:val="0"/>
          <w:sz w:val="24"/>
        </w:rPr>
      </w:pPr>
      <w:bookmarkStart w:id="12" w:name="_Toc144916745"/>
      <w:bookmarkStart w:id="13" w:name="_Toc144901826"/>
      <w:bookmarkStart w:id="14" w:name="_Toc145058732"/>
      <w:bookmarkStart w:id="15" w:name="_Toc144900982"/>
      <w:bookmarkStart w:id="16" w:name="_Toc144903029"/>
      <w:bookmarkStart w:id="17" w:name="_Toc21474"/>
      <w:bookmarkStart w:id="18" w:name="_Toc144895826"/>
      <w:r>
        <w:rPr>
          <w:kern w:val="0"/>
          <w:sz w:val="24"/>
        </w:rPr>
        <w:t>本文件规定了</w:t>
      </w:r>
      <w:r>
        <w:rPr>
          <w:rFonts w:hint="eastAsia"/>
          <w:kern w:val="0"/>
          <w:sz w:val="24"/>
        </w:rPr>
        <w:t>甘蔗</w:t>
      </w:r>
      <w:r>
        <w:rPr>
          <w:rFonts w:hint="eastAsia"/>
          <w:kern w:val="0"/>
          <w:sz w:val="24"/>
          <w:lang w:eastAsia="zh-CN"/>
        </w:rPr>
        <w:t>分步</w:t>
      </w:r>
      <w:r>
        <w:rPr>
          <w:rFonts w:hint="eastAsia"/>
          <w:kern w:val="0"/>
          <w:sz w:val="24"/>
          <w:lang w:val="en-US" w:eastAsia="zh-CN"/>
        </w:rPr>
        <w:t>协同</w:t>
      </w:r>
      <w:r>
        <w:rPr>
          <w:rFonts w:hint="eastAsia"/>
          <w:kern w:val="0"/>
          <w:sz w:val="24"/>
        </w:rPr>
        <w:t>机收技术应用的蔗地基本条件、</w:t>
      </w:r>
      <w:r>
        <w:rPr>
          <w:rFonts w:hint="eastAsia"/>
          <w:kern w:val="0"/>
          <w:sz w:val="24"/>
          <w:lang w:eastAsia="zh-CN"/>
        </w:rPr>
        <w:t>分步</w:t>
      </w:r>
      <w:r>
        <w:rPr>
          <w:rFonts w:hint="eastAsia"/>
          <w:kern w:val="0"/>
          <w:sz w:val="24"/>
          <w:lang w:val="en-US" w:eastAsia="zh-CN"/>
        </w:rPr>
        <w:t>式</w:t>
      </w:r>
      <w:r>
        <w:rPr>
          <w:rFonts w:hint="eastAsia"/>
          <w:kern w:val="0"/>
          <w:sz w:val="24"/>
        </w:rPr>
        <w:t>机械化收割的步骤和技术要点、集中除杂点的布局原则和依据、配套条件和主要建设内容</w:t>
      </w:r>
      <w:r>
        <w:rPr>
          <w:kern w:val="0"/>
          <w:sz w:val="24"/>
        </w:rPr>
        <w:t>等技术要求。</w:t>
      </w:r>
      <w:bookmarkEnd w:id="12"/>
      <w:bookmarkEnd w:id="13"/>
      <w:bookmarkEnd w:id="14"/>
      <w:bookmarkEnd w:id="15"/>
      <w:bookmarkEnd w:id="16"/>
      <w:bookmarkEnd w:id="17"/>
      <w:bookmarkEnd w:id="18"/>
    </w:p>
    <w:p>
      <w:pPr>
        <w:widowControl/>
        <w:shd w:val="clear" w:color="auto" w:fill="FFFFFF"/>
        <w:spacing w:before="156" w:beforeLines="50" w:after="156" w:afterLines="50" w:line="360" w:lineRule="auto"/>
        <w:ind w:firstLine="480" w:firstLineChars="200"/>
        <w:jc w:val="left"/>
        <w:outlineLvl w:val="0"/>
        <w:rPr>
          <w:kern w:val="0"/>
          <w:sz w:val="24"/>
        </w:rPr>
      </w:pPr>
      <w:bookmarkStart w:id="19" w:name="_Toc144916746"/>
      <w:bookmarkStart w:id="20" w:name="_Toc144901827"/>
      <w:bookmarkStart w:id="21" w:name="_Toc144900983"/>
      <w:bookmarkStart w:id="22" w:name="_Toc144895827"/>
      <w:bookmarkStart w:id="23" w:name="_Toc144903030"/>
      <w:bookmarkStart w:id="24" w:name="_Toc15978"/>
      <w:bookmarkStart w:id="25" w:name="_Toc145058733"/>
      <w:r>
        <w:rPr>
          <w:kern w:val="0"/>
          <w:sz w:val="24"/>
        </w:rPr>
        <w:t>本文件适用于我国</w:t>
      </w:r>
      <w:r>
        <w:rPr>
          <w:rFonts w:hint="eastAsia"/>
          <w:kern w:val="0"/>
          <w:sz w:val="24"/>
        </w:rPr>
        <w:t>大部分蔗区。尤其适用于</w:t>
      </w:r>
      <w:r>
        <w:rPr>
          <w:rFonts w:hint="eastAsia"/>
          <w:kern w:val="0"/>
          <w:sz w:val="24"/>
          <w:lang w:val="en-US" w:eastAsia="zh-CN"/>
        </w:rPr>
        <w:t>丘陵坡地</w:t>
      </w:r>
      <w:r>
        <w:rPr>
          <w:rFonts w:hint="eastAsia"/>
          <w:kern w:val="0"/>
          <w:sz w:val="24"/>
        </w:rPr>
        <w:t>中大型</w:t>
      </w:r>
      <w:r>
        <w:rPr>
          <w:rFonts w:hint="eastAsia"/>
          <w:kern w:val="0"/>
          <w:sz w:val="24"/>
          <w:lang w:val="en-US" w:eastAsia="zh-CN"/>
        </w:rPr>
        <w:t>机械化收获</w:t>
      </w:r>
      <w:r>
        <w:rPr>
          <w:rFonts w:hint="eastAsia"/>
          <w:kern w:val="0"/>
          <w:sz w:val="24"/>
        </w:rPr>
        <w:t>作业受限的蔗区</w:t>
      </w:r>
      <w:r>
        <w:rPr>
          <w:kern w:val="0"/>
          <w:sz w:val="24"/>
        </w:rPr>
        <w:t>。</w:t>
      </w:r>
      <w:bookmarkEnd w:id="19"/>
      <w:bookmarkEnd w:id="20"/>
      <w:bookmarkEnd w:id="21"/>
      <w:bookmarkEnd w:id="22"/>
      <w:bookmarkEnd w:id="23"/>
      <w:bookmarkEnd w:id="24"/>
      <w:bookmarkEnd w:id="25"/>
    </w:p>
    <w:p>
      <w:pPr>
        <w:pStyle w:val="60"/>
        <w:rPr>
          <w:rFonts w:ascii="Times New Roman"/>
          <w:color w:val="000000"/>
          <w:sz w:val="24"/>
          <w:szCs w:val="24"/>
        </w:rPr>
      </w:pPr>
      <w:bookmarkStart w:id="26" w:name="_Toc144901828"/>
      <w:bookmarkStart w:id="27" w:name="_Toc9259"/>
      <w:r>
        <w:rPr>
          <w:rFonts w:ascii="Times New Roman"/>
          <w:color w:val="000000"/>
          <w:sz w:val="24"/>
          <w:szCs w:val="24"/>
        </w:rPr>
        <w:t>规范性引用文件</w:t>
      </w:r>
      <w:bookmarkEnd w:id="26"/>
      <w:bookmarkEnd w:id="27"/>
    </w:p>
    <w:p>
      <w:pPr>
        <w:pStyle w:val="23"/>
        <w:spacing w:before="156" w:beforeLines="50" w:after="156" w:afterLines="50" w:line="360" w:lineRule="auto"/>
        <w:ind w:firstLine="480"/>
        <w:rPr>
          <w:rFonts w:ascii="Times New Roman"/>
          <w:sz w:val="24"/>
          <w:szCs w:val="24"/>
        </w:rPr>
      </w:pPr>
      <w:r>
        <w:rPr>
          <w:rFonts w:ascii="Times New Roman"/>
          <w:sz w:val="24"/>
          <w:szCs w:val="24"/>
        </w:rPr>
        <w:t xml:space="preserve">下列文件中的内容通过文中的规范性引用而构成本文件必不可少的条款。其中，注日期的引用文件，仅该日期对应的版本适用于本文件；不注日期的引用文件，其最新版本（包括所有的修改单）适用于本文件。 </w:t>
      </w:r>
    </w:p>
    <w:p>
      <w:pPr>
        <w:widowControl/>
        <w:shd w:val="clear" w:color="auto" w:fill="FFFFFF"/>
        <w:spacing w:before="156" w:beforeLines="50" w:after="156" w:afterLines="50" w:line="360" w:lineRule="auto"/>
        <w:ind w:firstLine="480" w:firstLineChars="200"/>
        <w:jc w:val="left"/>
        <w:outlineLvl w:val="0"/>
        <w:rPr>
          <w:kern w:val="0"/>
          <w:sz w:val="24"/>
        </w:rPr>
      </w:pPr>
      <w:bookmarkStart w:id="28" w:name="_Toc144916748"/>
      <w:bookmarkStart w:id="29" w:name="_Toc29383"/>
      <w:bookmarkStart w:id="30" w:name="_Toc144903032"/>
      <w:bookmarkStart w:id="31" w:name="_Toc144895829"/>
      <w:bookmarkStart w:id="32" w:name="_Toc144901829"/>
      <w:bookmarkStart w:id="33" w:name="_Toc145058735"/>
      <w:bookmarkStart w:id="34" w:name="_Toc144900985"/>
      <w:r>
        <w:rPr>
          <w:kern w:val="0"/>
          <w:sz w:val="24"/>
        </w:rPr>
        <w:t>GB/T 10498  糖料甘蔗</w:t>
      </w:r>
      <w:bookmarkEnd w:id="28"/>
      <w:bookmarkEnd w:id="29"/>
      <w:bookmarkEnd w:id="30"/>
      <w:bookmarkEnd w:id="31"/>
      <w:bookmarkEnd w:id="32"/>
      <w:bookmarkEnd w:id="33"/>
      <w:bookmarkEnd w:id="34"/>
    </w:p>
    <w:p>
      <w:pPr>
        <w:widowControl/>
        <w:shd w:val="clear" w:color="auto" w:fill="FFFFFF"/>
        <w:spacing w:before="156" w:beforeLines="50" w:after="156" w:afterLines="50" w:line="360" w:lineRule="auto"/>
        <w:ind w:firstLine="480" w:firstLineChars="200"/>
        <w:jc w:val="left"/>
        <w:outlineLvl w:val="0"/>
        <w:rPr>
          <w:rFonts w:hint="eastAsia"/>
          <w:kern w:val="0"/>
          <w:sz w:val="24"/>
          <w:lang w:val="en-US" w:eastAsia="zh-CN"/>
        </w:rPr>
      </w:pPr>
      <w:bookmarkStart w:id="35" w:name="_Toc1778"/>
      <w:bookmarkStart w:id="36" w:name="_Toc30601"/>
      <w:r>
        <w:rPr>
          <w:rFonts w:hint="eastAsia"/>
          <w:kern w:val="0"/>
          <w:sz w:val="24"/>
          <w:lang w:val="en-US" w:eastAsia="zh-CN"/>
        </w:rPr>
        <w:t>NY/T 2902  甘蔗联合收获机作业质量</w:t>
      </w:r>
    </w:p>
    <w:p>
      <w:pPr>
        <w:widowControl/>
        <w:shd w:val="clear" w:color="auto" w:fill="FFFFFF"/>
        <w:spacing w:before="156" w:beforeLines="50" w:after="156" w:afterLines="50" w:line="360" w:lineRule="auto"/>
        <w:ind w:firstLine="480" w:firstLineChars="200"/>
        <w:jc w:val="left"/>
        <w:outlineLvl w:val="0"/>
        <w:rPr>
          <w:kern w:val="0"/>
          <w:sz w:val="24"/>
        </w:rPr>
      </w:pPr>
      <w:r>
        <w:rPr>
          <w:rFonts w:hint="eastAsia"/>
          <w:kern w:val="0"/>
          <w:sz w:val="24"/>
        </w:rPr>
        <w:t>NY/T 2991  农机农艺结合生产技术规程 甘蔗</w:t>
      </w:r>
      <w:bookmarkEnd w:id="35"/>
    </w:p>
    <w:p>
      <w:pPr>
        <w:widowControl/>
        <w:shd w:val="clear" w:color="auto" w:fill="FFFFFF"/>
        <w:spacing w:before="156" w:beforeLines="50" w:after="156" w:afterLines="50" w:line="360" w:lineRule="auto"/>
        <w:ind w:firstLine="480" w:firstLineChars="200"/>
        <w:jc w:val="left"/>
        <w:outlineLvl w:val="0"/>
        <w:rPr>
          <w:kern w:val="0"/>
          <w:sz w:val="24"/>
        </w:rPr>
      </w:pPr>
      <w:r>
        <w:rPr>
          <w:rFonts w:hint="eastAsia"/>
          <w:kern w:val="0"/>
          <w:sz w:val="24"/>
        </w:rPr>
        <w:t>NY/T 3889  甘蔗全程机械化生产技术规范</w:t>
      </w:r>
      <w:bookmarkEnd w:id="36"/>
    </w:p>
    <w:p>
      <w:pPr>
        <w:pStyle w:val="60"/>
        <w:rPr>
          <w:rFonts w:ascii="Times New Roman"/>
          <w:sz w:val="24"/>
          <w:szCs w:val="24"/>
        </w:rPr>
      </w:pPr>
      <w:bookmarkStart w:id="37" w:name="_Toc29013"/>
      <w:bookmarkStart w:id="38" w:name="_Toc144901833"/>
      <w:r>
        <w:rPr>
          <w:rFonts w:ascii="Times New Roman"/>
          <w:sz w:val="24"/>
          <w:szCs w:val="24"/>
        </w:rPr>
        <w:t>术语和定义</w:t>
      </w:r>
      <w:bookmarkEnd w:id="37"/>
      <w:bookmarkEnd w:id="38"/>
    </w:p>
    <w:p>
      <w:pPr>
        <w:widowControl/>
        <w:shd w:val="clear" w:color="auto" w:fill="FFFFFF"/>
        <w:spacing w:before="156" w:beforeLines="50" w:after="156" w:afterLines="50" w:line="360" w:lineRule="auto"/>
        <w:ind w:firstLine="480" w:firstLineChars="200"/>
        <w:jc w:val="left"/>
        <w:outlineLvl w:val="0"/>
        <w:rPr>
          <w:kern w:val="0"/>
          <w:sz w:val="24"/>
        </w:rPr>
      </w:pPr>
      <w:bookmarkStart w:id="39" w:name="_Toc144903037"/>
      <w:bookmarkStart w:id="40" w:name="_Toc145058740"/>
      <w:bookmarkStart w:id="41" w:name="_Toc21316"/>
      <w:bookmarkStart w:id="42" w:name="_Toc144901834"/>
      <w:bookmarkStart w:id="43" w:name="_Toc144916753"/>
      <w:bookmarkStart w:id="44" w:name="_Toc144895834"/>
      <w:bookmarkStart w:id="45" w:name="_Toc144900990"/>
      <w:r>
        <w:rPr>
          <w:kern w:val="0"/>
          <w:sz w:val="24"/>
        </w:rPr>
        <w:t>下列术语和定义适宜于本文件。</w:t>
      </w:r>
      <w:bookmarkEnd w:id="39"/>
      <w:bookmarkEnd w:id="40"/>
      <w:bookmarkEnd w:id="41"/>
      <w:bookmarkEnd w:id="42"/>
      <w:bookmarkEnd w:id="43"/>
      <w:bookmarkEnd w:id="44"/>
      <w:bookmarkEnd w:id="45"/>
    </w:p>
    <w:p>
      <w:pPr>
        <w:pStyle w:val="60"/>
        <w:numPr>
          <w:ilvl w:val="1"/>
          <w:numId w:val="7"/>
        </w:numPr>
        <w:spacing w:before="156" w:beforeLines="50" w:after="156" w:afterLines="50" w:line="360" w:lineRule="auto"/>
        <w:rPr>
          <w:rFonts w:ascii="Times New Roman"/>
          <w:sz w:val="24"/>
          <w:szCs w:val="24"/>
        </w:rPr>
      </w:pPr>
      <w:bookmarkStart w:id="46" w:name="_Toc144901835"/>
      <w:bookmarkStart w:id="47" w:name="_Hlk143521743"/>
      <w:bookmarkStart w:id="48" w:name="_Toc18789"/>
      <w:r>
        <w:rPr>
          <w:rFonts w:hint="eastAsia" w:ascii="Times New Roman"/>
          <w:sz w:val="24"/>
          <w:szCs w:val="24"/>
          <w:lang w:eastAsia="zh-CN"/>
        </w:rPr>
        <w:t>分步协同</w:t>
      </w:r>
      <w:r>
        <w:rPr>
          <w:rFonts w:hint="eastAsia" w:ascii="Times New Roman"/>
          <w:sz w:val="24"/>
          <w:szCs w:val="24"/>
        </w:rPr>
        <w:t>机收</w:t>
      </w:r>
      <w:r>
        <w:rPr>
          <w:rFonts w:ascii="Times New Roman"/>
          <w:sz w:val="24"/>
          <w:szCs w:val="24"/>
        </w:rPr>
        <w:t xml:space="preserve"> </w:t>
      </w:r>
      <w:r>
        <w:rPr>
          <w:rFonts w:ascii="Times New Roman" w:eastAsia="宋体"/>
          <w:sz w:val="24"/>
          <w:szCs w:val="24"/>
        </w:rPr>
        <w:t xml:space="preserve"> </w:t>
      </w:r>
      <w:bookmarkEnd w:id="46"/>
      <w:bookmarkEnd w:id="47"/>
      <w:r>
        <w:rPr>
          <w:rFonts w:hint="eastAsia" w:ascii="Times New Roman" w:eastAsia="宋体"/>
          <w:sz w:val="24"/>
          <w:szCs w:val="24"/>
          <w:lang w:val="en-US" w:eastAsia="zh-CN"/>
        </w:rPr>
        <w:t>Multi s</w:t>
      </w:r>
      <w:r>
        <w:rPr>
          <w:rFonts w:hint="eastAsia" w:ascii="Times New Roman" w:eastAsia="宋体"/>
          <w:sz w:val="24"/>
          <w:szCs w:val="24"/>
        </w:rPr>
        <w:t>tep co</w:t>
      </w:r>
      <w:r>
        <w:rPr>
          <w:rFonts w:hint="eastAsia" w:ascii="Times New Roman" w:eastAsia="宋体"/>
          <w:sz w:val="24"/>
          <w:szCs w:val="24"/>
          <w:lang w:val="en-US" w:eastAsia="zh-CN"/>
        </w:rPr>
        <w:t>llaborative</w:t>
      </w:r>
      <w:r>
        <w:rPr>
          <w:rFonts w:hint="eastAsia" w:ascii="Times New Roman" w:eastAsia="宋体"/>
          <w:sz w:val="24"/>
          <w:szCs w:val="24"/>
        </w:rPr>
        <w:t xml:space="preserve"> </w:t>
      </w:r>
      <w:r>
        <w:rPr>
          <w:rFonts w:ascii="Times New Roman" w:eastAsia="宋体"/>
          <w:sz w:val="24"/>
          <w:szCs w:val="24"/>
        </w:rPr>
        <w:t>mechani</w:t>
      </w:r>
      <w:r>
        <w:rPr>
          <w:rFonts w:hint="eastAsia" w:ascii="Times New Roman" w:eastAsia="宋体"/>
          <w:sz w:val="24"/>
          <w:szCs w:val="24"/>
          <w:lang w:val="en-US" w:eastAsia="zh-CN"/>
        </w:rPr>
        <w:t>zed</w:t>
      </w:r>
      <w:r>
        <w:rPr>
          <w:rFonts w:ascii="Times New Roman" w:eastAsia="宋体"/>
          <w:sz w:val="24"/>
          <w:szCs w:val="24"/>
        </w:rPr>
        <w:t xml:space="preserve"> harvest</w:t>
      </w:r>
      <w:bookmarkEnd w:id="48"/>
      <w:r>
        <w:rPr>
          <w:rFonts w:hint="eastAsia" w:ascii="Times New Roman" w:eastAsia="宋体"/>
          <w:sz w:val="24"/>
          <w:szCs w:val="24"/>
          <w:lang w:val="en-US" w:eastAsia="zh-CN"/>
        </w:rPr>
        <w:t>ing</w:t>
      </w:r>
    </w:p>
    <w:p>
      <w:pPr>
        <w:pStyle w:val="23"/>
        <w:spacing w:before="156" w:beforeLines="50" w:after="156" w:afterLines="50" w:line="360" w:lineRule="auto"/>
        <w:ind w:firstLine="480"/>
        <w:rPr>
          <w:rFonts w:ascii="Times New Roman"/>
          <w:sz w:val="24"/>
          <w:szCs w:val="24"/>
        </w:rPr>
      </w:pPr>
      <w:r>
        <w:rPr>
          <w:rFonts w:hint="eastAsia" w:ascii="Times New Roman"/>
          <w:sz w:val="24"/>
          <w:szCs w:val="24"/>
        </w:rPr>
        <w:t>通过机械割铺</w:t>
      </w:r>
      <w:r>
        <w:rPr>
          <w:rFonts w:hint="eastAsia" w:ascii="Times New Roman"/>
          <w:sz w:val="24"/>
          <w:szCs w:val="24"/>
          <w:lang w:eastAsia="zh-CN"/>
        </w:rPr>
        <w:t>（</w:t>
      </w:r>
      <w:r>
        <w:rPr>
          <w:rFonts w:hint="eastAsia" w:ascii="Times New Roman"/>
          <w:sz w:val="24"/>
          <w:szCs w:val="24"/>
          <w:lang w:val="en-US" w:eastAsia="zh-CN"/>
        </w:rPr>
        <w:t>堆</w:t>
      </w:r>
      <w:r>
        <w:rPr>
          <w:rFonts w:hint="eastAsia" w:ascii="Times New Roman"/>
          <w:sz w:val="24"/>
          <w:szCs w:val="24"/>
          <w:lang w:eastAsia="zh-CN"/>
        </w:rPr>
        <w:t>）、</w:t>
      </w:r>
      <w:r>
        <w:rPr>
          <w:rFonts w:hint="eastAsia" w:ascii="Times New Roman"/>
          <w:sz w:val="24"/>
          <w:szCs w:val="24"/>
        </w:rPr>
        <w:t>集堆、转运的原料蔗，运至集中除杂点经机械切段除杂或整秆除杂，获得质量合格的原料蔗的机械化作业方式</w:t>
      </w:r>
      <w:r>
        <w:rPr>
          <w:rFonts w:ascii="Times New Roman"/>
          <w:sz w:val="24"/>
          <w:szCs w:val="24"/>
        </w:rPr>
        <w:t>。</w:t>
      </w:r>
      <w:bookmarkStart w:id="49" w:name="_Hlk143521772"/>
    </w:p>
    <w:bookmarkEnd w:id="49"/>
    <w:p>
      <w:pPr>
        <w:pStyle w:val="60"/>
        <w:numPr>
          <w:ilvl w:val="1"/>
          <w:numId w:val="7"/>
        </w:numPr>
        <w:spacing w:before="156" w:beforeLines="50" w:after="156" w:afterLines="50" w:line="360" w:lineRule="auto"/>
        <w:rPr>
          <w:rFonts w:ascii="Times New Roman" w:eastAsia="宋体"/>
          <w:sz w:val="24"/>
          <w:szCs w:val="24"/>
        </w:rPr>
      </w:pPr>
      <w:bookmarkStart w:id="50" w:name="_Toc21929"/>
      <w:bookmarkStart w:id="51" w:name="_Hlk143521755"/>
      <w:bookmarkStart w:id="52" w:name="_Toc144901836"/>
      <w:r>
        <w:rPr>
          <w:rFonts w:hint="eastAsia" w:ascii="Times New Roman"/>
          <w:sz w:val="24"/>
          <w:szCs w:val="24"/>
        </w:rPr>
        <w:t>割铺</w:t>
      </w:r>
      <w:r>
        <w:rPr>
          <w:rFonts w:ascii="Times New Roman"/>
          <w:sz w:val="24"/>
          <w:szCs w:val="24"/>
        </w:rPr>
        <w:t xml:space="preserve">  </w:t>
      </w:r>
      <w:r>
        <w:rPr>
          <w:rFonts w:hint="eastAsia" w:ascii="Times New Roman"/>
          <w:sz w:val="24"/>
          <w:szCs w:val="24"/>
        </w:rPr>
        <w:t>Cut down and lay flat</w:t>
      </w:r>
      <w:bookmarkEnd w:id="50"/>
      <w:bookmarkEnd w:id="51"/>
      <w:bookmarkEnd w:id="52"/>
    </w:p>
    <w:p>
      <w:pPr>
        <w:pStyle w:val="23"/>
        <w:spacing w:before="156" w:beforeLines="50" w:after="156" w:afterLines="50" w:line="360" w:lineRule="auto"/>
        <w:ind w:firstLine="480"/>
        <w:rPr>
          <w:rFonts w:ascii="Times New Roman"/>
          <w:sz w:val="24"/>
          <w:szCs w:val="24"/>
        </w:rPr>
      </w:pPr>
      <w:r>
        <w:rPr>
          <w:rFonts w:hint="eastAsia" w:ascii="Times New Roman"/>
          <w:color w:val="000000"/>
          <w:sz w:val="24"/>
        </w:rPr>
        <w:t>采用割铺机从甘蔗基部切割并通过机械的导向机构使甘蔗跨垄平铺于田间</w:t>
      </w:r>
      <w:r>
        <w:rPr>
          <w:rFonts w:ascii="Times New Roman"/>
          <w:sz w:val="24"/>
          <w:szCs w:val="24"/>
        </w:rPr>
        <w:t>。</w:t>
      </w:r>
    </w:p>
    <w:p>
      <w:pPr>
        <w:pStyle w:val="23"/>
        <w:numPr>
          <w:ilvl w:val="1"/>
          <w:numId w:val="7"/>
        </w:numPr>
        <w:spacing w:before="156" w:beforeLines="50" w:after="156" w:afterLines="50" w:line="360" w:lineRule="auto"/>
        <w:ind w:firstLineChars="0"/>
        <w:rPr>
          <w:rFonts w:ascii="Times New Roman"/>
          <w:sz w:val="24"/>
          <w:szCs w:val="24"/>
        </w:rPr>
      </w:pPr>
      <w:r>
        <w:rPr>
          <w:rFonts w:hint="eastAsia" w:ascii="Times New Roman" w:eastAsia="黑体"/>
          <w:color w:val="000000"/>
          <w:sz w:val="24"/>
          <w:szCs w:val="24"/>
        </w:rPr>
        <w:t>割堆</w:t>
      </w:r>
      <w:r>
        <w:rPr>
          <w:rFonts w:ascii="Times New Roman" w:eastAsia="黑体"/>
          <w:color w:val="000000"/>
          <w:sz w:val="24"/>
          <w:szCs w:val="24"/>
        </w:rPr>
        <w:t xml:space="preserve"> </w:t>
      </w:r>
      <w:r>
        <w:rPr>
          <w:rFonts w:hint="eastAsia" w:ascii="Times New Roman"/>
          <w:sz w:val="24"/>
          <w:szCs w:val="24"/>
        </w:rPr>
        <w:t>Cut down and pile up</w:t>
      </w:r>
      <w:r>
        <w:rPr>
          <w:rFonts w:ascii="Times New Roman"/>
          <w:sz w:val="24"/>
          <w:szCs w:val="24"/>
        </w:rPr>
        <w:tab/>
      </w:r>
    </w:p>
    <w:p>
      <w:pPr>
        <w:pStyle w:val="23"/>
        <w:spacing w:before="156" w:beforeLines="50" w:after="156" w:afterLines="50" w:line="360" w:lineRule="auto"/>
        <w:ind w:firstLine="480"/>
        <w:rPr>
          <w:rFonts w:hint="eastAsia" w:ascii="Times New Roman" w:eastAsia="宋体"/>
          <w:sz w:val="24"/>
          <w:szCs w:val="24"/>
          <w:lang w:val="en-US" w:eastAsia="zh-CN"/>
        </w:rPr>
      </w:pPr>
      <w:r>
        <w:rPr>
          <w:rFonts w:hint="eastAsia" w:ascii="Times New Roman"/>
          <w:color w:val="000000"/>
          <w:sz w:val="24"/>
        </w:rPr>
        <w:t>采用割堆机从甘蔗基部切割并通过机械的堆集和导向机构使甘蔗跨垄成堆铺放于田间</w:t>
      </w:r>
      <w:r>
        <w:rPr>
          <w:rFonts w:ascii="Times New Roman"/>
          <w:sz w:val="24"/>
          <w:szCs w:val="24"/>
        </w:rPr>
        <w:t>。</w:t>
      </w:r>
    </w:p>
    <w:p>
      <w:pPr>
        <w:widowControl/>
        <w:numPr>
          <w:ilvl w:val="1"/>
          <w:numId w:val="0"/>
        </w:numPr>
        <w:spacing w:before="156" w:beforeLines="50" w:after="156" w:afterLines="50" w:line="360" w:lineRule="auto"/>
        <w:jc w:val="left"/>
        <w:outlineLvl w:val="2"/>
        <w:rPr>
          <w:kern w:val="0"/>
          <w:szCs w:val="20"/>
        </w:rPr>
      </w:pPr>
      <w:bookmarkStart w:id="53" w:name="_Toc144901837"/>
      <w:bookmarkStart w:id="54" w:name="_Toc23961"/>
      <w:r>
        <w:rPr>
          <w:rFonts w:eastAsia="黑体"/>
          <w:color w:val="000000"/>
          <w:kern w:val="0"/>
          <w:sz w:val="24"/>
        </w:rPr>
        <w:t xml:space="preserve">3.4 </w:t>
      </w:r>
      <w:r>
        <w:rPr>
          <w:rFonts w:hint="eastAsia" w:eastAsia="黑体"/>
          <w:color w:val="000000"/>
          <w:kern w:val="0"/>
          <w:sz w:val="24"/>
        </w:rPr>
        <w:t>集堆</w:t>
      </w:r>
      <w:r>
        <w:rPr>
          <w:rFonts w:eastAsia="黑体"/>
          <w:color w:val="000000"/>
          <w:kern w:val="0"/>
          <w:sz w:val="24"/>
        </w:rPr>
        <w:t xml:space="preserve"> </w:t>
      </w:r>
      <w:r>
        <w:rPr>
          <w:kern w:val="0"/>
          <w:szCs w:val="20"/>
        </w:rPr>
        <w:t xml:space="preserve"> </w:t>
      </w:r>
      <w:bookmarkEnd w:id="53"/>
      <w:r>
        <w:rPr>
          <w:rFonts w:hint="eastAsia"/>
          <w:kern w:val="0"/>
          <w:szCs w:val="20"/>
        </w:rPr>
        <w:t>Pile up</w:t>
      </w:r>
      <w:bookmarkEnd w:id="54"/>
    </w:p>
    <w:p>
      <w:pPr>
        <w:widowControl/>
        <w:spacing w:before="156" w:beforeLines="50" w:after="156" w:afterLines="50" w:line="360" w:lineRule="auto"/>
        <w:ind w:firstLine="480" w:firstLineChars="200"/>
        <w:outlineLvl w:val="1"/>
        <w:rPr>
          <w:color w:val="000000"/>
          <w:sz w:val="24"/>
        </w:rPr>
      </w:pPr>
      <w:bookmarkStart w:id="55" w:name="_Toc5506"/>
      <w:r>
        <w:rPr>
          <w:rFonts w:hint="eastAsia"/>
          <w:color w:val="000000"/>
          <w:sz w:val="24"/>
        </w:rPr>
        <w:t>采用抓蔗机将割铺机收割铺放在田间的甘蔗集中成堆，便于后续抓取至田间运输设备上实现离田。</w:t>
      </w:r>
      <w:bookmarkEnd w:id="55"/>
    </w:p>
    <w:p>
      <w:pPr>
        <w:widowControl/>
        <w:numPr>
          <w:ilvl w:val="1"/>
          <w:numId w:val="0"/>
        </w:numPr>
        <w:spacing w:before="156" w:beforeLines="50" w:after="156" w:afterLines="50" w:line="360" w:lineRule="auto"/>
        <w:jc w:val="left"/>
        <w:outlineLvl w:val="2"/>
        <w:rPr>
          <w:rFonts w:eastAsia="黑体"/>
          <w:color w:val="000000"/>
          <w:kern w:val="0"/>
          <w:sz w:val="24"/>
        </w:rPr>
      </w:pPr>
      <w:bookmarkStart w:id="56" w:name="_Toc144901838"/>
      <w:bookmarkStart w:id="57" w:name="_Toc15561"/>
      <w:r>
        <w:rPr>
          <w:rFonts w:eastAsia="黑体"/>
          <w:color w:val="000000"/>
          <w:kern w:val="0"/>
          <w:sz w:val="24"/>
        </w:rPr>
        <w:t xml:space="preserve">3.5 </w:t>
      </w:r>
      <w:r>
        <w:rPr>
          <w:rFonts w:hint="eastAsia" w:eastAsia="黑体"/>
          <w:color w:val="000000"/>
          <w:kern w:val="0"/>
          <w:sz w:val="24"/>
        </w:rPr>
        <w:t>转运</w:t>
      </w:r>
      <w:r>
        <w:rPr>
          <w:rFonts w:eastAsia="黑体"/>
          <w:color w:val="000000"/>
          <w:kern w:val="0"/>
          <w:sz w:val="24"/>
        </w:rPr>
        <w:t xml:space="preserve"> </w:t>
      </w:r>
      <w:bookmarkEnd w:id="56"/>
      <w:r>
        <w:rPr>
          <w:rFonts w:hint="eastAsia" w:eastAsia="黑体"/>
          <w:kern w:val="0"/>
          <w:szCs w:val="20"/>
        </w:rPr>
        <w:t>Transfer</w:t>
      </w:r>
      <w:bookmarkEnd w:id="57"/>
    </w:p>
    <w:p>
      <w:pPr>
        <w:spacing w:before="156" w:beforeLines="50" w:after="156" w:afterLines="50" w:line="360" w:lineRule="auto"/>
        <w:ind w:firstLine="480" w:firstLineChars="200"/>
        <w:rPr>
          <w:rFonts w:eastAsia="黑体"/>
          <w:color w:val="000000"/>
          <w:kern w:val="0"/>
          <w:sz w:val="24"/>
        </w:rPr>
      </w:pPr>
      <w:r>
        <w:rPr>
          <w:rFonts w:hint="eastAsia"/>
          <w:color w:val="000000"/>
          <w:sz w:val="24"/>
        </w:rPr>
        <w:t>利用田间运输车辆或其他装载机具，将原料蔗从田间运至田头的</w:t>
      </w:r>
      <w:r>
        <w:rPr>
          <w:rFonts w:hint="eastAsia"/>
          <w:color w:val="000000"/>
          <w:sz w:val="24"/>
          <w:lang w:val="en-US" w:eastAsia="zh-CN"/>
        </w:rPr>
        <w:t>公路</w:t>
      </w:r>
      <w:r>
        <w:rPr>
          <w:rFonts w:hint="eastAsia"/>
          <w:color w:val="000000"/>
          <w:sz w:val="24"/>
        </w:rPr>
        <w:t>运输车接驳点</w:t>
      </w:r>
      <w:r>
        <w:rPr>
          <w:rFonts w:hint="eastAsia"/>
          <w:color w:val="000000"/>
          <w:sz w:val="24"/>
          <w:lang w:eastAsia="zh-CN"/>
        </w:rPr>
        <w:t>，</w:t>
      </w:r>
      <w:r>
        <w:rPr>
          <w:rFonts w:hint="eastAsia"/>
          <w:color w:val="000000"/>
          <w:sz w:val="24"/>
          <w:lang w:val="en-US" w:eastAsia="zh-CN"/>
        </w:rPr>
        <w:t>并</w:t>
      </w:r>
      <w:r>
        <w:rPr>
          <w:rFonts w:hint="eastAsia"/>
          <w:sz w:val="24"/>
        </w:rPr>
        <w:t>转装至</w:t>
      </w:r>
      <w:r>
        <w:rPr>
          <w:rFonts w:hint="eastAsia"/>
          <w:sz w:val="24"/>
          <w:lang w:val="en-US" w:eastAsia="zh-CN"/>
        </w:rPr>
        <w:t>公</w:t>
      </w:r>
      <w:r>
        <w:rPr>
          <w:rFonts w:hint="eastAsia"/>
          <w:sz w:val="24"/>
        </w:rPr>
        <w:t>路运输车</w:t>
      </w:r>
      <w:r>
        <w:rPr>
          <w:rFonts w:hint="eastAsia"/>
          <w:sz w:val="24"/>
          <w:lang w:val="en-US" w:eastAsia="zh-CN"/>
        </w:rPr>
        <w:t>送往集中除杂点</w:t>
      </w:r>
      <w:r>
        <w:rPr>
          <w:rFonts w:hint="eastAsia"/>
          <w:sz w:val="24"/>
        </w:rPr>
        <w:t>的过程</w:t>
      </w:r>
      <w:r>
        <w:rPr>
          <w:sz w:val="24"/>
        </w:rPr>
        <w:t>。</w:t>
      </w:r>
    </w:p>
    <w:p>
      <w:pPr>
        <w:widowControl/>
        <w:numPr>
          <w:ilvl w:val="1"/>
          <w:numId w:val="0"/>
        </w:numPr>
        <w:spacing w:before="156" w:beforeLines="50" w:after="156" w:afterLines="50" w:line="360" w:lineRule="auto"/>
        <w:jc w:val="left"/>
        <w:outlineLvl w:val="2"/>
        <w:rPr>
          <w:rFonts w:eastAsia="黑体"/>
          <w:color w:val="000000"/>
          <w:kern w:val="0"/>
          <w:sz w:val="24"/>
        </w:rPr>
      </w:pPr>
      <w:bookmarkStart w:id="58" w:name="_Toc144901840"/>
      <w:bookmarkStart w:id="59" w:name="_Toc24089"/>
      <w:r>
        <w:rPr>
          <w:rFonts w:eastAsia="黑体"/>
          <w:color w:val="000000"/>
          <w:kern w:val="0"/>
          <w:sz w:val="24"/>
        </w:rPr>
        <w:t>3.</w:t>
      </w:r>
      <w:r>
        <w:rPr>
          <w:rFonts w:hint="eastAsia" w:eastAsia="黑体"/>
          <w:color w:val="000000"/>
          <w:kern w:val="0"/>
          <w:sz w:val="24"/>
          <w:lang w:val="en-US" w:eastAsia="zh-CN"/>
        </w:rPr>
        <w:t>6</w:t>
      </w:r>
      <w:r>
        <w:rPr>
          <w:rFonts w:eastAsia="黑体"/>
          <w:color w:val="000000"/>
          <w:kern w:val="0"/>
          <w:sz w:val="24"/>
        </w:rPr>
        <w:t xml:space="preserve"> </w:t>
      </w:r>
      <w:r>
        <w:rPr>
          <w:rFonts w:hint="eastAsia" w:eastAsia="黑体"/>
          <w:color w:val="000000"/>
          <w:kern w:val="0"/>
          <w:sz w:val="24"/>
        </w:rPr>
        <w:t>留茬</w:t>
      </w:r>
      <w:r>
        <w:rPr>
          <w:rFonts w:eastAsia="黑体"/>
          <w:color w:val="000000"/>
          <w:kern w:val="0"/>
          <w:sz w:val="24"/>
        </w:rPr>
        <w:t xml:space="preserve"> </w:t>
      </w:r>
      <w:bookmarkEnd w:id="58"/>
      <w:r>
        <w:rPr>
          <w:rFonts w:hint="eastAsia" w:eastAsia="黑体"/>
          <w:kern w:val="0"/>
          <w:szCs w:val="20"/>
        </w:rPr>
        <w:t>Stubble</w:t>
      </w:r>
      <w:bookmarkEnd w:id="59"/>
    </w:p>
    <w:p>
      <w:pPr>
        <w:widowControl/>
        <w:numPr>
          <w:ilvl w:val="1"/>
          <w:numId w:val="0"/>
        </w:numPr>
        <w:spacing w:before="156" w:beforeLines="50" w:after="156" w:afterLines="50" w:line="360" w:lineRule="auto"/>
        <w:ind w:firstLine="480" w:firstLineChars="200"/>
        <w:jc w:val="left"/>
        <w:outlineLvl w:val="2"/>
        <w:rPr>
          <w:rFonts w:eastAsia="黑体"/>
          <w:color w:val="000000"/>
          <w:kern w:val="0"/>
          <w:sz w:val="24"/>
        </w:rPr>
      </w:pPr>
      <w:bookmarkStart w:id="60" w:name="_Toc145058747"/>
      <w:bookmarkStart w:id="61" w:name="_Toc24431"/>
      <w:r>
        <w:rPr>
          <w:rFonts w:hint="eastAsia"/>
          <w:sz w:val="24"/>
        </w:rPr>
        <w:t>收割后露出土面的蔗茎部分。</w:t>
      </w:r>
      <w:bookmarkEnd w:id="60"/>
      <w:bookmarkEnd w:id="61"/>
      <w:r>
        <w:rPr>
          <w:sz w:val="24"/>
        </w:rPr>
        <w:t xml:space="preserve"> </w:t>
      </w:r>
    </w:p>
    <w:p>
      <w:pPr>
        <w:widowControl/>
        <w:numPr>
          <w:ilvl w:val="1"/>
          <w:numId w:val="0"/>
        </w:numPr>
        <w:spacing w:before="156" w:beforeLines="50" w:after="156" w:afterLines="50" w:line="360" w:lineRule="auto"/>
        <w:jc w:val="left"/>
        <w:outlineLvl w:val="2"/>
        <w:rPr>
          <w:rFonts w:eastAsia="黑体"/>
          <w:color w:val="000000"/>
          <w:kern w:val="0"/>
          <w:sz w:val="24"/>
        </w:rPr>
      </w:pPr>
      <w:bookmarkStart w:id="62" w:name="_Toc144901841"/>
      <w:bookmarkStart w:id="63" w:name="_Toc4096"/>
      <w:r>
        <w:rPr>
          <w:rFonts w:eastAsia="黑体"/>
          <w:color w:val="000000"/>
          <w:kern w:val="0"/>
          <w:sz w:val="24"/>
        </w:rPr>
        <w:t>3.</w:t>
      </w:r>
      <w:r>
        <w:rPr>
          <w:rFonts w:hint="eastAsia" w:eastAsia="黑体"/>
          <w:color w:val="000000"/>
          <w:kern w:val="0"/>
          <w:sz w:val="24"/>
          <w:lang w:val="en-US" w:eastAsia="zh-CN"/>
        </w:rPr>
        <w:t>7</w:t>
      </w:r>
      <w:r>
        <w:rPr>
          <w:rFonts w:eastAsia="黑体"/>
          <w:color w:val="000000"/>
          <w:kern w:val="0"/>
          <w:sz w:val="24"/>
        </w:rPr>
        <w:t xml:space="preserve"> </w:t>
      </w:r>
      <w:r>
        <w:rPr>
          <w:rFonts w:hint="eastAsia" w:eastAsia="黑体"/>
          <w:color w:val="000000"/>
          <w:kern w:val="0"/>
          <w:sz w:val="24"/>
        </w:rPr>
        <w:t>拔蔸</w:t>
      </w:r>
      <w:r>
        <w:rPr>
          <w:rFonts w:eastAsia="黑体"/>
          <w:color w:val="000000"/>
          <w:kern w:val="0"/>
          <w:sz w:val="24"/>
        </w:rPr>
        <w:t xml:space="preserve"> </w:t>
      </w:r>
      <w:bookmarkEnd w:id="62"/>
      <w:r>
        <w:rPr>
          <w:rFonts w:hint="eastAsia" w:eastAsia="黑体"/>
          <w:kern w:val="0"/>
          <w:szCs w:val="20"/>
        </w:rPr>
        <w:t>Pull out roots</w:t>
      </w:r>
      <w:bookmarkEnd w:id="63"/>
      <w:r>
        <w:rPr>
          <w:kern w:val="0"/>
          <w:szCs w:val="20"/>
        </w:rPr>
        <w:t xml:space="preserve"> </w:t>
      </w:r>
    </w:p>
    <w:p>
      <w:pPr>
        <w:spacing w:before="156" w:beforeLines="50" w:after="156" w:afterLines="50" w:line="360" w:lineRule="auto"/>
        <w:ind w:firstLine="480" w:firstLineChars="200"/>
        <w:rPr>
          <w:rFonts w:hint="eastAsia"/>
          <w:sz w:val="24"/>
        </w:rPr>
      </w:pPr>
      <w:bookmarkStart w:id="64" w:name="_Toc145058749"/>
      <w:r>
        <w:rPr>
          <w:rFonts w:hint="eastAsia"/>
          <w:sz w:val="24"/>
        </w:rPr>
        <w:t>因收割作业不当，使甘蔗地下部蔗蔸</w:t>
      </w:r>
      <w:r>
        <w:rPr>
          <w:rFonts w:hint="eastAsia"/>
          <w:sz w:val="24"/>
          <w:lang w:val="en-US" w:eastAsia="zh-CN"/>
        </w:rPr>
        <w:t>拔</w:t>
      </w:r>
      <w:r>
        <w:rPr>
          <w:rFonts w:hint="eastAsia"/>
          <w:sz w:val="24"/>
        </w:rPr>
        <w:t>出土面的现象</w:t>
      </w:r>
      <w:bookmarkEnd w:id="64"/>
      <w:r>
        <w:rPr>
          <w:rFonts w:hint="eastAsia"/>
          <w:sz w:val="24"/>
        </w:rPr>
        <w:t>。</w:t>
      </w:r>
    </w:p>
    <w:p>
      <w:pPr>
        <w:spacing w:before="156" w:beforeLines="50" w:after="156" w:afterLines="50" w:line="360" w:lineRule="auto"/>
        <w:rPr>
          <w:rFonts w:hint="default" w:eastAsia="宋体"/>
          <w:color w:val="000000"/>
          <w:sz w:val="24"/>
          <w:lang w:val="en-US" w:eastAsia="zh-CN"/>
        </w:rPr>
      </w:pPr>
      <w:r>
        <w:rPr>
          <w:rFonts w:hint="eastAsia" w:eastAsia="黑体"/>
          <w:color w:val="000000"/>
          <w:kern w:val="0"/>
          <w:sz w:val="24"/>
          <w:lang w:val="en-US" w:eastAsia="zh-CN"/>
        </w:rPr>
        <w:t xml:space="preserve">3.8 </w:t>
      </w:r>
      <w:r>
        <w:rPr>
          <w:rFonts w:hint="eastAsia" w:eastAsia="黑体"/>
          <w:color w:val="000000"/>
          <w:kern w:val="0"/>
          <w:sz w:val="24"/>
        </w:rPr>
        <w:t>整</w:t>
      </w:r>
      <w:r>
        <w:rPr>
          <w:rFonts w:hint="eastAsia" w:eastAsia="黑体"/>
          <w:color w:val="000000"/>
          <w:kern w:val="0"/>
          <w:sz w:val="24"/>
          <w:lang w:val="en-US" w:eastAsia="zh-CN"/>
        </w:rPr>
        <w:t>秆</w:t>
      </w:r>
      <w:r>
        <w:rPr>
          <w:rFonts w:hint="eastAsia" w:eastAsia="黑体"/>
          <w:color w:val="000000"/>
          <w:kern w:val="0"/>
          <w:sz w:val="24"/>
        </w:rPr>
        <w:t>式除杂</w:t>
      </w:r>
      <w:r>
        <w:rPr>
          <w:rFonts w:hint="eastAsia"/>
          <w:color w:val="000000"/>
          <w:sz w:val="24"/>
          <w:lang w:val="en-US" w:eastAsia="zh-CN"/>
        </w:rPr>
        <w:t xml:space="preserve"> W</w:t>
      </w:r>
      <w:r>
        <w:rPr>
          <w:rFonts w:hint="eastAsia" w:eastAsia="黑体"/>
          <w:color w:val="000000"/>
          <w:kern w:val="0"/>
          <w:sz w:val="24"/>
          <w:lang w:val="en-US" w:eastAsia="zh-CN"/>
        </w:rPr>
        <w:t>hole stalk trash removal</w:t>
      </w:r>
    </w:p>
    <w:p>
      <w:pPr>
        <w:spacing w:before="156" w:beforeLines="50" w:after="156" w:afterLines="50" w:line="360" w:lineRule="auto"/>
        <w:ind w:firstLine="480" w:firstLineChars="200"/>
        <w:rPr>
          <w:rFonts w:hint="eastAsia"/>
          <w:color w:val="000000"/>
          <w:sz w:val="24"/>
        </w:rPr>
      </w:pPr>
      <w:r>
        <w:rPr>
          <w:rFonts w:hint="eastAsia"/>
          <w:color w:val="000000"/>
          <w:sz w:val="24"/>
        </w:rPr>
        <w:t>带叶带</w:t>
      </w:r>
      <w:r>
        <w:rPr>
          <w:rFonts w:hint="eastAsia"/>
          <w:color w:val="000000"/>
          <w:sz w:val="24"/>
          <w:lang w:val="en-US" w:eastAsia="zh-CN"/>
        </w:rPr>
        <w:t>梢</w:t>
      </w:r>
      <w:r>
        <w:rPr>
          <w:rFonts w:hint="eastAsia"/>
          <w:color w:val="000000"/>
          <w:sz w:val="24"/>
        </w:rPr>
        <w:t>甘蔗</w:t>
      </w:r>
      <w:r>
        <w:rPr>
          <w:rFonts w:hint="eastAsia"/>
          <w:color w:val="000000"/>
          <w:sz w:val="24"/>
          <w:lang w:val="en-US" w:eastAsia="zh-CN"/>
        </w:rPr>
        <w:t>喂</w:t>
      </w:r>
      <w:r>
        <w:rPr>
          <w:rFonts w:hint="eastAsia"/>
          <w:color w:val="000000"/>
          <w:sz w:val="24"/>
        </w:rPr>
        <w:t>入整</w:t>
      </w:r>
      <w:r>
        <w:rPr>
          <w:rFonts w:hint="eastAsia"/>
          <w:color w:val="000000"/>
          <w:sz w:val="24"/>
          <w:lang w:val="en-US" w:eastAsia="zh-CN"/>
        </w:rPr>
        <w:t>秆</w:t>
      </w:r>
      <w:r>
        <w:rPr>
          <w:rFonts w:hint="eastAsia"/>
          <w:color w:val="000000"/>
          <w:sz w:val="24"/>
        </w:rPr>
        <w:t>式除杂机组，将蔗</w:t>
      </w:r>
      <w:r>
        <w:rPr>
          <w:rFonts w:hint="eastAsia"/>
          <w:color w:val="000000"/>
          <w:sz w:val="24"/>
          <w:lang w:eastAsia="zh-CN"/>
        </w:rPr>
        <w:t>梢</w:t>
      </w:r>
      <w:r>
        <w:rPr>
          <w:rFonts w:hint="eastAsia"/>
          <w:color w:val="000000"/>
          <w:sz w:val="24"/>
        </w:rPr>
        <w:t>切</w:t>
      </w:r>
      <w:r>
        <w:rPr>
          <w:rFonts w:hint="eastAsia"/>
          <w:color w:val="000000"/>
          <w:sz w:val="24"/>
          <w:lang w:val="en-US" w:eastAsia="zh-CN"/>
        </w:rPr>
        <w:t>除</w:t>
      </w:r>
      <w:r>
        <w:rPr>
          <w:rFonts w:hint="eastAsia"/>
          <w:color w:val="000000"/>
          <w:sz w:val="24"/>
        </w:rPr>
        <w:t>、蔗叶剥除，</w:t>
      </w:r>
      <w:r>
        <w:rPr>
          <w:rFonts w:hint="eastAsia"/>
          <w:color w:val="000000"/>
          <w:sz w:val="24"/>
          <w:lang w:val="en-US" w:eastAsia="zh-CN"/>
        </w:rPr>
        <w:t>获得符合</w:t>
      </w:r>
      <w:r>
        <w:rPr>
          <w:rFonts w:hint="eastAsia"/>
          <w:color w:val="000000"/>
          <w:sz w:val="24"/>
          <w:lang w:eastAsia="zh-CN"/>
        </w:rPr>
        <w:t>制糖企业</w:t>
      </w:r>
      <w:r>
        <w:rPr>
          <w:rFonts w:hint="eastAsia"/>
          <w:color w:val="000000"/>
          <w:sz w:val="24"/>
        </w:rPr>
        <w:t>收购</w:t>
      </w:r>
      <w:r>
        <w:rPr>
          <w:rFonts w:hint="eastAsia"/>
          <w:color w:val="000000"/>
          <w:sz w:val="24"/>
          <w:lang w:val="en-US" w:eastAsia="zh-CN"/>
        </w:rPr>
        <w:t>质量</w:t>
      </w:r>
      <w:r>
        <w:rPr>
          <w:rFonts w:hint="eastAsia"/>
          <w:color w:val="000000"/>
          <w:sz w:val="24"/>
        </w:rPr>
        <w:t>标准的</w:t>
      </w:r>
      <w:r>
        <w:rPr>
          <w:rFonts w:hint="eastAsia"/>
          <w:color w:val="000000"/>
          <w:sz w:val="24"/>
          <w:lang w:val="en-US" w:eastAsia="zh-CN"/>
        </w:rPr>
        <w:t>整秆原料蔗的</w:t>
      </w:r>
      <w:r>
        <w:rPr>
          <w:rFonts w:hint="eastAsia"/>
          <w:color w:val="000000"/>
          <w:sz w:val="24"/>
        </w:rPr>
        <w:t>过程</w:t>
      </w:r>
      <w:r>
        <w:rPr>
          <w:rFonts w:hint="eastAsia"/>
          <w:color w:val="000000"/>
          <w:sz w:val="24"/>
          <w:lang w:eastAsia="zh-CN"/>
        </w:rPr>
        <w:t>。</w:t>
      </w:r>
    </w:p>
    <w:p>
      <w:pPr>
        <w:spacing w:before="156" w:beforeLines="50" w:after="156" w:afterLines="50" w:line="360" w:lineRule="auto"/>
        <w:rPr>
          <w:rFonts w:hint="default"/>
          <w:color w:val="000000"/>
          <w:sz w:val="24"/>
          <w:lang w:val="en-US" w:eastAsia="zh-CN"/>
        </w:rPr>
      </w:pPr>
      <w:r>
        <w:rPr>
          <w:rFonts w:hint="eastAsia" w:eastAsia="黑体"/>
          <w:color w:val="000000"/>
          <w:kern w:val="0"/>
          <w:sz w:val="24"/>
          <w:lang w:val="en-US" w:eastAsia="zh-CN"/>
        </w:rPr>
        <w:t xml:space="preserve">3.9 切段式除杂 Billet trash removal </w:t>
      </w:r>
    </w:p>
    <w:p>
      <w:pPr>
        <w:spacing w:before="156" w:beforeLines="50" w:after="156" w:afterLines="50" w:line="360" w:lineRule="auto"/>
        <w:ind w:firstLine="480" w:firstLineChars="200"/>
        <w:rPr>
          <w:rFonts w:hint="default"/>
          <w:color w:val="000000"/>
          <w:sz w:val="24"/>
          <w:lang w:val="en-US" w:eastAsia="zh-CN"/>
        </w:rPr>
      </w:pPr>
      <w:r>
        <w:rPr>
          <w:rFonts w:hint="eastAsia"/>
          <w:color w:val="000000"/>
          <w:sz w:val="24"/>
        </w:rPr>
        <w:t>带叶带</w:t>
      </w:r>
      <w:r>
        <w:rPr>
          <w:rFonts w:hint="eastAsia"/>
          <w:color w:val="000000"/>
          <w:sz w:val="24"/>
          <w:lang w:val="en-US" w:eastAsia="zh-CN"/>
        </w:rPr>
        <w:t>梢</w:t>
      </w:r>
      <w:r>
        <w:rPr>
          <w:rFonts w:hint="eastAsia"/>
          <w:color w:val="000000"/>
          <w:sz w:val="24"/>
        </w:rPr>
        <w:t>甘蔗</w:t>
      </w:r>
      <w:r>
        <w:rPr>
          <w:rFonts w:hint="eastAsia"/>
          <w:color w:val="000000"/>
          <w:sz w:val="24"/>
          <w:lang w:val="en-US" w:eastAsia="zh-CN"/>
        </w:rPr>
        <w:t>喂</w:t>
      </w:r>
      <w:r>
        <w:rPr>
          <w:rFonts w:hint="eastAsia"/>
          <w:color w:val="000000"/>
          <w:sz w:val="24"/>
        </w:rPr>
        <w:t>入切</w:t>
      </w:r>
      <w:r>
        <w:rPr>
          <w:rFonts w:hint="eastAsia"/>
          <w:color w:val="000000"/>
          <w:sz w:val="24"/>
          <w:lang w:val="en-US" w:eastAsia="zh-CN"/>
        </w:rPr>
        <w:t>段</w:t>
      </w:r>
      <w:r>
        <w:rPr>
          <w:rFonts w:hint="eastAsia"/>
          <w:color w:val="000000"/>
          <w:sz w:val="24"/>
        </w:rPr>
        <w:t>式除杂机组，将甘蔗切</w:t>
      </w:r>
      <w:r>
        <w:rPr>
          <w:rFonts w:hint="eastAsia"/>
          <w:color w:val="000000"/>
          <w:sz w:val="24"/>
          <w:lang w:val="en-US" w:eastAsia="zh-CN"/>
        </w:rPr>
        <w:t>段</w:t>
      </w:r>
      <w:r>
        <w:rPr>
          <w:rFonts w:hint="eastAsia"/>
          <w:color w:val="000000"/>
          <w:sz w:val="24"/>
        </w:rPr>
        <w:t>，采用风力将蔗叶</w:t>
      </w:r>
      <w:r>
        <w:rPr>
          <w:rFonts w:hint="eastAsia"/>
          <w:color w:val="000000"/>
          <w:sz w:val="24"/>
          <w:lang w:eastAsia="zh-CN"/>
        </w:rPr>
        <w:t>、</w:t>
      </w:r>
      <w:r>
        <w:rPr>
          <w:rFonts w:hint="eastAsia"/>
          <w:color w:val="000000"/>
          <w:sz w:val="24"/>
          <w:lang w:val="en-US" w:eastAsia="zh-CN"/>
        </w:rPr>
        <w:t>嫩梢吹除</w:t>
      </w:r>
      <w:r>
        <w:rPr>
          <w:rFonts w:hint="eastAsia"/>
          <w:color w:val="000000"/>
          <w:sz w:val="24"/>
          <w:lang w:eastAsia="zh-CN"/>
        </w:rPr>
        <w:t>，</w:t>
      </w:r>
      <w:r>
        <w:rPr>
          <w:rFonts w:hint="eastAsia"/>
          <w:color w:val="000000"/>
          <w:sz w:val="24"/>
          <w:lang w:val="en-US" w:eastAsia="zh-CN"/>
        </w:rPr>
        <w:t>获得符合制糖企业收购质量标准的原料蔗段</w:t>
      </w:r>
      <w:r>
        <w:rPr>
          <w:rFonts w:hint="eastAsia"/>
          <w:color w:val="000000"/>
          <w:sz w:val="24"/>
        </w:rPr>
        <w:t>的过程。</w:t>
      </w:r>
    </w:p>
    <w:p>
      <w:pPr>
        <w:widowControl/>
        <w:numPr>
          <w:ilvl w:val="1"/>
          <w:numId w:val="0"/>
        </w:numPr>
        <w:spacing w:before="156" w:beforeLines="50" w:after="156" w:afterLines="50" w:line="360" w:lineRule="auto"/>
        <w:jc w:val="left"/>
        <w:outlineLvl w:val="2"/>
        <w:rPr>
          <w:rFonts w:eastAsia="黑体"/>
          <w:color w:val="000000"/>
          <w:kern w:val="0"/>
          <w:sz w:val="24"/>
        </w:rPr>
      </w:pPr>
      <w:bookmarkStart w:id="65" w:name="_Toc6402"/>
      <w:bookmarkStart w:id="66" w:name="_Toc144901843"/>
      <w:r>
        <w:rPr>
          <w:rFonts w:eastAsia="黑体"/>
          <w:color w:val="000000"/>
          <w:kern w:val="0"/>
          <w:sz w:val="24"/>
        </w:rPr>
        <w:t>4 蔗地</w:t>
      </w:r>
      <w:r>
        <w:rPr>
          <w:rFonts w:hint="eastAsia" w:eastAsia="黑体"/>
          <w:color w:val="000000"/>
          <w:kern w:val="0"/>
          <w:sz w:val="24"/>
        </w:rPr>
        <w:t>基本条件</w:t>
      </w:r>
      <w:bookmarkEnd w:id="65"/>
      <w:bookmarkEnd w:id="66"/>
    </w:p>
    <w:p>
      <w:pPr>
        <w:widowControl/>
        <w:spacing w:before="156" w:beforeLines="50" w:after="156" w:afterLines="50" w:line="360" w:lineRule="auto"/>
        <w:outlineLvl w:val="1"/>
        <w:rPr>
          <w:color w:val="000000"/>
          <w:sz w:val="24"/>
        </w:rPr>
      </w:pPr>
      <w:bookmarkStart w:id="67" w:name="_Toc17548"/>
      <w:r>
        <w:rPr>
          <w:rFonts w:hint="eastAsia"/>
          <w:color w:val="000000"/>
          <w:sz w:val="24"/>
        </w:rPr>
        <w:t>4.1 田间种植行向、行距、行长应确保</w:t>
      </w:r>
      <w:r>
        <w:rPr>
          <w:rFonts w:hint="eastAsia"/>
          <w:color w:val="000000"/>
          <w:sz w:val="24"/>
          <w:lang w:val="en-US" w:eastAsia="zh-CN"/>
        </w:rPr>
        <w:t>甘蔗分步协同机收作业</w:t>
      </w:r>
      <w:r>
        <w:rPr>
          <w:rFonts w:hint="eastAsia"/>
          <w:color w:val="000000"/>
          <w:sz w:val="24"/>
        </w:rPr>
        <w:t>的安全顺畅运行，应具备适应割铺、割堆、集堆、转运等机械装备和车辆运行的田间地头作业空间和道路运输条件；</w:t>
      </w:r>
      <w:bookmarkEnd w:id="67"/>
    </w:p>
    <w:p>
      <w:pPr>
        <w:widowControl/>
        <w:spacing w:before="156" w:beforeLines="50" w:after="156" w:afterLines="50" w:line="360" w:lineRule="auto"/>
        <w:outlineLvl w:val="1"/>
        <w:rPr>
          <w:color w:val="000000"/>
          <w:sz w:val="24"/>
        </w:rPr>
      </w:pPr>
      <w:bookmarkStart w:id="68" w:name="_Toc27187"/>
      <w:r>
        <w:rPr>
          <w:rFonts w:hint="eastAsia"/>
          <w:color w:val="000000"/>
          <w:sz w:val="24"/>
        </w:rPr>
        <w:t xml:space="preserve">4.2 </w:t>
      </w:r>
      <w:bookmarkEnd w:id="68"/>
      <w:bookmarkStart w:id="69" w:name="_Toc19612"/>
      <w:r>
        <w:rPr>
          <w:rFonts w:hint="eastAsia"/>
          <w:color w:val="000000"/>
          <w:sz w:val="24"/>
        </w:rPr>
        <w:t>相邻农户地块进行统一规划，集约化设计田头转弯</w:t>
      </w:r>
      <w:r>
        <w:rPr>
          <w:rFonts w:hint="eastAsia"/>
          <w:color w:val="000000"/>
          <w:sz w:val="24"/>
          <w:lang w:eastAsia="zh-CN"/>
        </w:rPr>
        <w:t>调头</w:t>
      </w:r>
      <w:r>
        <w:rPr>
          <w:rFonts w:hint="eastAsia"/>
          <w:color w:val="000000"/>
          <w:sz w:val="24"/>
        </w:rPr>
        <w:t>和转装运输空间，节约使用耕地；统一规划田间行向、行距、行长，保证</w:t>
      </w:r>
      <w:r>
        <w:rPr>
          <w:rFonts w:hint="eastAsia"/>
          <w:color w:val="000000"/>
          <w:sz w:val="24"/>
          <w:lang w:val="en-US" w:eastAsia="zh-CN"/>
        </w:rPr>
        <w:t>甘蔗分步协同机收</w:t>
      </w:r>
      <w:r>
        <w:rPr>
          <w:rFonts w:hint="eastAsia"/>
          <w:color w:val="000000"/>
          <w:sz w:val="24"/>
        </w:rPr>
        <w:t>作业安全、顺畅、高效运行；统一规划应用良种，保证原料蔗成熟期、生产季（新植或宿根蔗）一致，以实现同期规模化收获。</w:t>
      </w:r>
      <w:bookmarkEnd w:id="69"/>
    </w:p>
    <w:p>
      <w:pPr>
        <w:widowControl/>
        <w:numPr>
          <w:ilvl w:val="1"/>
          <w:numId w:val="0"/>
        </w:numPr>
        <w:spacing w:before="156" w:beforeLines="50" w:after="156" w:afterLines="50" w:line="360" w:lineRule="auto"/>
        <w:jc w:val="left"/>
        <w:outlineLvl w:val="2"/>
        <w:rPr>
          <w:rFonts w:eastAsia="黑体"/>
          <w:bCs/>
          <w:color w:val="000000"/>
          <w:sz w:val="24"/>
        </w:rPr>
      </w:pPr>
      <w:bookmarkStart w:id="70" w:name="_Toc144901845"/>
      <w:bookmarkStart w:id="71" w:name="_Toc1713"/>
      <w:r>
        <w:rPr>
          <w:rFonts w:eastAsia="黑体"/>
          <w:bCs/>
          <w:color w:val="000000"/>
          <w:sz w:val="24"/>
        </w:rPr>
        <w:t xml:space="preserve">5 </w:t>
      </w:r>
      <w:r>
        <w:rPr>
          <w:rFonts w:hint="eastAsia" w:eastAsia="黑体"/>
          <w:bCs/>
          <w:color w:val="000000"/>
          <w:sz w:val="24"/>
          <w:lang w:eastAsia="zh-CN"/>
        </w:rPr>
        <w:t>分步</w:t>
      </w:r>
      <w:r>
        <w:rPr>
          <w:rFonts w:hint="eastAsia" w:eastAsia="黑体"/>
          <w:bCs/>
          <w:color w:val="000000"/>
          <w:sz w:val="24"/>
          <w:lang w:val="en-US" w:eastAsia="zh-CN"/>
        </w:rPr>
        <w:t>式</w:t>
      </w:r>
      <w:r>
        <w:rPr>
          <w:rFonts w:hint="eastAsia" w:eastAsia="黑体"/>
          <w:bCs/>
          <w:color w:val="000000"/>
          <w:sz w:val="24"/>
        </w:rPr>
        <w:t>机械化收割</w:t>
      </w:r>
      <w:bookmarkEnd w:id="70"/>
      <w:bookmarkEnd w:id="71"/>
    </w:p>
    <w:p>
      <w:pPr>
        <w:widowControl/>
        <w:numPr>
          <w:ilvl w:val="1"/>
          <w:numId w:val="0"/>
        </w:numPr>
        <w:spacing w:before="156" w:beforeLines="50" w:after="156" w:afterLines="50" w:line="360" w:lineRule="auto"/>
        <w:jc w:val="left"/>
        <w:outlineLvl w:val="2"/>
        <w:rPr>
          <w:rFonts w:eastAsia="黑体"/>
          <w:bCs/>
          <w:color w:val="000000"/>
          <w:sz w:val="24"/>
        </w:rPr>
      </w:pPr>
      <w:bookmarkStart w:id="72" w:name="_Toc25139"/>
      <w:r>
        <w:rPr>
          <w:rFonts w:eastAsia="黑体"/>
          <w:bCs/>
          <w:color w:val="000000"/>
          <w:sz w:val="24"/>
        </w:rPr>
        <w:t>5.1</w:t>
      </w:r>
      <w:r>
        <w:rPr>
          <w:rFonts w:hint="eastAsia" w:eastAsia="黑体"/>
          <w:bCs/>
          <w:color w:val="000000"/>
          <w:sz w:val="24"/>
        </w:rPr>
        <w:t xml:space="preserve"> 蔗地勘查</w:t>
      </w:r>
      <w:bookmarkEnd w:id="72"/>
    </w:p>
    <w:p>
      <w:pPr>
        <w:widowControl/>
        <w:spacing w:before="156" w:beforeLines="50" w:after="156" w:afterLines="50" w:line="360" w:lineRule="auto"/>
        <w:ind w:firstLine="480" w:firstLineChars="200"/>
        <w:outlineLvl w:val="1"/>
        <w:rPr>
          <w:color w:val="000000"/>
          <w:sz w:val="24"/>
        </w:rPr>
      </w:pPr>
      <w:bookmarkStart w:id="73" w:name="_Toc26971"/>
      <w:r>
        <w:rPr>
          <w:rFonts w:hint="eastAsia"/>
          <w:color w:val="000000"/>
          <w:sz w:val="24"/>
        </w:rPr>
        <w:t>机收作业服务业者应提前勘查作业地块，</w:t>
      </w:r>
      <w:r>
        <w:rPr>
          <w:rFonts w:hint="eastAsia"/>
          <w:color w:val="000000"/>
          <w:sz w:val="24"/>
          <w:lang w:val="en-US" w:eastAsia="zh-CN"/>
        </w:rPr>
        <w:t>利于</w:t>
      </w:r>
      <w:r>
        <w:rPr>
          <w:rFonts w:hint="eastAsia"/>
          <w:color w:val="000000"/>
          <w:sz w:val="24"/>
        </w:rPr>
        <w:t>连片收割；</w:t>
      </w:r>
      <w:r>
        <w:rPr>
          <w:rFonts w:hint="eastAsia"/>
          <w:color w:val="000000"/>
          <w:sz w:val="24"/>
          <w:lang w:val="en-US" w:eastAsia="zh-CN"/>
        </w:rPr>
        <w:t>应</w:t>
      </w:r>
      <w:r>
        <w:rPr>
          <w:rFonts w:hint="eastAsia"/>
          <w:color w:val="000000"/>
          <w:sz w:val="24"/>
        </w:rPr>
        <w:t>提前清理作业场地障碍，规划作业流程和路径，预留合适的作业机具和运输车辆转弯</w:t>
      </w:r>
      <w:r>
        <w:rPr>
          <w:rFonts w:hint="eastAsia"/>
          <w:color w:val="000000"/>
          <w:sz w:val="24"/>
          <w:lang w:eastAsia="zh-CN"/>
        </w:rPr>
        <w:t>调头</w:t>
      </w:r>
      <w:r>
        <w:rPr>
          <w:rFonts w:hint="eastAsia"/>
          <w:color w:val="000000"/>
          <w:sz w:val="24"/>
        </w:rPr>
        <w:t>及转装空间；根据田间作业条件（地块、甘蔗倒伏、弯曲程度）、作业量和集中除杂点的处理与接纳能力，组织好作业机具、零配件耗材、运力及相关保障，避免割铺</w:t>
      </w:r>
      <w:r>
        <w:rPr>
          <w:rFonts w:hint="eastAsia"/>
          <w:color w:val="000000"/>
          <w:sz w:val="24"/>
          <w:lang w:eastAsia="zh-CN"/>
        </w:rPr>
        <w:t>（</w:t>
      </w:r>
      <w:r>
        <w:rPr>
          <w:rFonts w:hint="eastAsia"/>
          <w:color w:val="000000"/>
          <w:sz w:val="24"/>
          <w:lang w:val="en-US" w:eastAsia="zh-CN"/>
        </w:rPr>
        <w:t>堆</w:t>
      </w:r>
      <w:r>
        <w:rPr>
          <w:rFonts w:hint="eastAsia"/>
          <w:color w:val="000000"/>
          <w:sz w:val="24"/>
          <w:lang w:eastAsia="zh-CN"/>
        </w:rPr>
        <w:t>）</w:t>
      </w:r>
      <w:r>
        <w:rPr>
          <w:rFonts w:hint="eastAsia"/>
          <w:color w:val="000000"/>
          <w:sz w:val="24"/>
        </w:rPr>
        <w:t>、集堆、转运、</w:t>
      </w:r>
      <w:r>
        <w:rPr>
          <w:rFonts w:hint="eastAsia"/>
          <w:color w:val="000000"/>
          <w:sz w:val="24"/>
          <w:lang w:val="en-US" w:eastAsia="zh-CN"/>
        </w:rPr>
        <w:t>公</w:t>
      </w:r>
      <w:r>
        <w:rPr>
          <w:rFonts w:hint="eastAsia"/>
          <w:color w:val="000000"/>
          <w:sz w:val="24"/>
        </w:rPr>
        <w:t>路运输等各环节机械装备及车辆的无效等待。</w:t>
      </w:r>
      <w:bookmarkEnd w:id="73"/>
    </w:p>
    <w:p>
      <w:pPr>
        <w:widowControl/>
        <w:numPr>
          <w:ilvl w:val="1"/>
          <w:numId w:val="0"/>
        </w:numPr>
        <w:spacing w:before="156" w:beforeLines="50" w:after="156" w:afterLines="50" w:line="360" w:lineRule="auto"/>
        <w:jc w:val="left"/>
        <w:outlineLvl w:val="2"/>
        <w:rPr>
          <w:rFonts w:hint="eastAsia" w:eastAsia="黑体"/>
          <w:bCs/>
          <w:color w:val="000000"/>
          <w:sz w:val="24"/>
          <w:lang w:eastAsia="zh-CN"/>
        </w:rPr>
      </w:pPr>
      <w:bookmarkStart w:id="74" w:name="_Toc8715"/>
      <w:r>
        <w:rPr>
          <w:rFonts w:hint="eastAsia" w:eastAsia="黑体"/>
          <w:bCs/>
          <w:color w:val="000000"/>
          <w:sz w:val="24"/>
        </w:rPr>
        <w:t>5.2 割铺</w:t>
      </w:r>
      <w:bookmarkEnd w:id="74"/>
      <w:r>
        <w:rPr>
          <w:rFonts w:hint="eastAsia" w:eastAsia="黑体"/>
          <w:bCs/>
          <w:color w:val="000000"/>
          <w:sz w:val="24"/>
          <w:lang w:eastAsia="zh-CN"/>
        </w:rPr>
        <w:t>（</w:t>
      </w:r>
      <w:r>
        <w:rPr>
          <w:rFonts w:hint="eastAsia" w:eastAsia="黑体"/>
          <w:bCs/>
          <w:color w:val="000000"/>
          <w:sz w:val="24"/>
          <w:lang w:val="en-US" w:eastAsia="zh-CN"/>
        </w:rPr>
        <w:t>堆</w:t>
      </w:r>
      <w:r>
        <w:rPr>
          <w:rFonts w:hint="eastAsia" w:eastAsia="黑体"/>
          <w:bCs/>
          <w:color w:val="000000"/>
          <w:sz w:val="24"/>
          <w:lang w:eastAsia="zh-CN"/>
        </w:rPr>
        <w:t>）</w:t>
      </w:r>
    </w:p>
    <w:p>
      <w:pPr>
        <w:widowControl/>
        <w:numPr>
          <w:ilvl w:val="1"/>
          <w:numId w:val="0"/>
        </w:numPr>
        <w:spacing w:before="156" w:beforeLines="50" w:after="156" w:afterLines="50" w:line="360" w:lineRule="auto"/>
        <w:ind w:firstLine="480" w:firstLineChars="200"/>
        <w:jc w:val="left"/>
        <w:outlineLvl w:val="2"/>
        <w:rPr>
          <w:color w:val="000000"/>
          <w:sz w:val="24"/>
        </w:rPr>
      </w:pPr>
      <w:bookmarkStart w:id="75" w:name="_Toc31729"/>
      <w:r>
        <w:rPr>
          <w:rFonts w:hint="eastAsia"/>
          <w:color w:val="000000"/>
          <w:sz w:val="24"/>
        </w:rPr>
        <w:t>宜在蔗地干爽条件下进行；采用割铺机或割堆机逐行收割</w:t>
      </w:r>
      <w:r>
        <w:rPr>
          <w:rFonts w:hint="eastAsia"/>
          <w:color w:val="000000"/>
          <w:sz w:val="24"/>
          <w:lang w:eastAsia="zh-CN"/>
        </w:rPr>
        <w:t>，</w:t>
      </w:r>
      <w:r>
        <w:rPr>
          <w:rFonts w:hint="eastAsia"/>
          <w:color w:val="000000"/>
          <w:sz w:val="24"/>
          <w:lang w:val="en-US" w:eastAsia="zh-CN"/>
        </w:rPr>
        <w:t>因地块条件限制的，可辅以人工配合进行</w:t>
      </w:r>
      <w:r>
        <w:rPr>
          <w:rFonts w:hint="eastAsia"/>
          <w:color w:val="000000"/>
          <w:sz w:val="24"/>
        </w:rPr>
        <w:t>；保持沟底行走，避免碾压蔗垄及甘蔗；</w:t>
      </w:r>
      <w:r>
        <w:rPr>
          <w:rFonts w:hint="eastAsia"/>
          <w:color w:val="000000"/>
          <w:sz w:val="24"/>
          <w:lang w:val="en-US" w:eastAsia="zh-CN"/>
        </w:rPr>
        <w:t>要求基切刀片入土切割或尽量</w:t>
      </w:r>
      <w:r>
        <w:rPr>
          <w:rFonts w:hint="eastAsia"/>
          <w:color w:val="000000"/>
          <w:sz w:val="24"/>
        </w:rPr>
        <w:t>贴近土面切割；注意检查留茬切口破裂情况和拔蔸情况，适时更换基切刀片和进行必要的调整维修。</w:t>
      </w:r>
      <w:bookmarkEnd w:id="75"/>
    </w:p>
    <w:p>
      <w:pPr>
        <w:widowControl/>
        <w:numPr>
          <w:ilvl w:val="1"/>
          <w:numId w:val="0"/>
        </w:numPr>
        <w:spacing w:before="156" w:beforeLines="50" w:after="156" w:afterLines="50" w:line="360" w:lineRule="auto"/>
        <w:jc w:val="left"/>
        <w:outlineLvl w:val="2"/>
        <w:rPr>
          <w:color w:val="000000"/>
          <w:sz w:val="24"/>
        </w:rPr>
      </w:pPr>
      <w:bookmarkStart w:id="76" w:name="_Toc22286"/>
      <w:r>
        <w:rPr>
          <w:rFonts w:hint="eastAsia" w:eastAsia="黑体"/>
          <w:bCs/>
          <w:color w:val="000000"/>
          <w:sz w:val="24"/>
        </w:rPr>
        <w:t>5.3 集堆与田间转运</w:t>
      </w:r>
      <w:bookmarkEnd w:id="76"/>
    </w:p>
    <w:p>
      <w:pPr>
        <w:widowControl/>
        <w:spacing w:before="156" w:beforeLines="50" w:after="156" w:afterLines="50" w:line="360" w:lineRule="auto"/>
        <w:ind w:firstLine="480" w:firstLineChars="200"/>
        <w:outlineLvl w:val="1"/>
        <w:rPr>
          <w:rFonts w:hint="eastAsia"/>
          <w:color w:val="000000"/>
          <w:sz w:val="24"/>
        </w:rPr>
      </w:pPr>
      <w:bookmarkStart w:id="77" w:name="_Toc27959"/>
      <w:r>
        <w:rPr>
          <w:rFonts w:hint="eastAsia"/>
          <w:color w:val="000000"/>
          <w:sz w:val="24"/>
        </w:rPr>
        <w:t>采用抓蔗机将割铺机收割铺放在田间的甘蔗进行集堆，有条件的可即时抓取放置到配套的田间运输车辆或其他装载机具上，运至田头</w:t>
      </w:r>
      <w:r>
        <w:rPr>
          <w:rFonts w:hint="eastAsia"/>
          <w:color w:val="000000"/>
          <w:sz w:val="24"/>
          <w:lang w:val="en-US" w:eastAsia="zh-CN"/>
        </w:rPr>
        <w:t>公</w:t>
      </w:r>
      <w:r>
        <w:rPr>
          <w:rFonts w:hint="eastAsia"/>
          <w:color w:val="000000"/>
          <w:sz w:val="24"/>
        </w:rPr>
        <w:t>路运输车接驳点进行转装。所有机具装备均要求保持沟底行走，避免碾压蔗垄及甘蔗。</w:t>
      </w:r>
      <w:bookmarkEnd w:id="77"/>
      <w:r>
        <w:rPr>
          <w:rFonts w:hint="eastAsia"/>
          <w:color w:val="000000"/>
          <w:sz w:val="24"/>
          <w:lang w:val="en-US" w:eastAsia="zh-CN"/>
        </w:rPr>
        <w:t>抓蔗机卸料高度应大于3.5m，卸料角大于30度。</w:t>
      </w:r>
    </w:p>
    <w:p>
      <w:pPr>
        <w:widowControl/>
        <w:numPr>
          <w:ilvl w:val="1"/>
          <w:numId w:val="0"/>
        </w:numPr>
        <w:spacing w:before="156" w:beforeLines="50" w:after="156" w:afterLines="50" w:line="360" w:lineRule="auto"/>
        <w:jc w:val="left"/>
        <w:outlineLvl w:val="2"/>
        <w:rPr>
          <w:rFonts w:eastAsia="黑体"/>
          <w:bCs/>
          <w:color w:val="000000"/>
          <w:sz w:val="24"/>
        </w:rPr>
      </w:pPr>
      <w:bookmarkStart w:id="78" w:name="_Toc20075"/>
      <w:r>
        <w:rPr>
          <w:rFonts w:hint="eastAsia" w:eastAsia="黑体"/>
          <w:bCs/>
          <w:color w:val="000000"/>
          <w:sz w:val="24"/>
        </w:rPr>
        <w:t>5.4田头转装与道路运输</w:t>
      </w:r>
      <w:bookmarkEnd w:id="78"/>
    </w:p>
    <w:p>
      <w:pPr>
        <w:widowControl/>
        <w:spacing w:before="156" w:beforeLines="50" w:after="156" w:afterLines="50" w:line="360" w:lineRule="auto"/>
        <w:ind w:firstLine="480" w:firstLineChars="200"/>
        <w:outlineLvl w:val="1"/>
        <w:rPr>
          <w:color w:val="000000"/>
          <w:sz w:val="24"/>
        </w:rPr>
      </w:pPr>
      <w:bookmarkStart w:id="79" w:name="_Toc12598"/>
      <w:r>
        <w:rPr>
          <w:rFonts w:hint="eastAsia"/>
          <w:color w:val="000000"/>
          <w:sz w:val="24"/>
        </w:rPr>
        <w:t>根据原料蔗外运的道路条件选择适宜的</w:t>
      </w:r>
      <w:r>
        <w:rPr>
          <w:rFonts w:hint="eastAsia"/>
          <w:color w:val="000000"/>
          <w:sz w:val="24"/>
          <w:lang w:val="en-US" w:eastAsia="zh-CN"/>
        </w:rPr>
        <w:t>公</w:t>
      </w:r>
      <w:r>
        <w:rPr>
          <w:rFonts w:hint="eastAsia"/>
          <w:color w:val="000000"/>
          <w:sz w:val="24"/>
        </w:rPr>
        <w:t>路运输车辆；根据运输车单车装载量、装载频次间隔以及田间收割效率，合理安排原料蔗田头集堆、转装机械和运输车辆作业空间，确保安全高效运行。</w:t>
      </w:r>
      <w:bookmarkEnd w:id="79"/>
      <w:r>
        <w:rPr>
          <w:rFonts w:hint="eastAsia"/>
          <w:color w:val="000000"/>
          <w:sz w:val="24"/>
          <w:lang w:val="en-US" w:eastAsia="zh-CN"/>
        </w:rPr>
        <w:t>转装机械卸料高度应大于3.5m，卸料角大于30度。</w:t>
      </w:r>
    </w:p>
    <w:p>
      <w:pPr>
        <w:widowControl/>
        <w:numPr>
          <w:ilvl w:val="1"/>
          <w:numId w:val="0"/>
        </w:numPr>
        <w:spacing w:before="156" w:beforeLines="50" w:after="156" w:afterLines="50" w:line="360" w:lineRule="auto"/>
        <w:jc w:val="left"/>
        <w:outlineLvl w:val="2"/>
        <w:rPr>
          <w:rFonts w:eastAsia="黑体"/>
          <w:bCs/>
          <w:color w:val="000000"/>
          <w:sz w:val="24"/>
        </w:rPr>
      </w:pPr>
      <w:bookmarkStart w:id="80" w:name="_Toc24913"/>
      <w:r>
        <w:rPr>
          <w:rFonts w:hint="eastAsia" w:eastAsia="黑体"/>
          <w:bCs/>
          <w:color w:val="000000"/>
          <w:sz w:val="24"/>
        </w:rPr>
        <w:t>6 集中除杂</w:t>
      </w:r>
      <w:bookmarkEnd w:id="80"/>
    </w:p>
    <w:p>
      <w:pPr>
        <w:widowControl/>
        <w:numPr>
          <w:ilvl w:val="-1"/>
          <w:numId w:val="0"/>
        </w:numPr>
        <w:spacing w:before="156" w:beforeLines="50" w:after="156" w:afterLines="50" w:line="360" w:lineRule="auto"/>
        <w:ind w:firstLine="0" w:firstLineChars="0"/>
        <w:jc w:val="left"/>
        <w:outlineLvl w:val="1"/>
        <w:rPr>
          <w:rFonts w:hint="eastAsia"/>
          <w:color w:val="000000"/>
          <w:sz w:val="24"/>
        </w:rPr>
      </w:pPr>
      <w:bookmarkStart w:id="81" w:name="_Toc8510"/>
      <w:r>
        <w:rPr>
          <w:rFonts w:hint="eastAsia"/>
          <w:color w:val="000000"/>
          <w:sz w:val="24"/>
        </w:rPr>
        <w:t>6.1 原料蔗集中除杂方式包括机械整秆</w:t>
      </w:r>
      <w:r>
        <w:rPr>
          <w:rFonts w:hint="eastAsia"/>
          <w:color w:val="000000"/>
          <w:sz w:val="24"/>
          <w:lang w:val="en-US" w:eastAsia="zh-CN"/>
        </w:rPr>
        <w:t>式</w:t>
      </w:r>
      <w:r>
        <w:rPr>
          <w:rFonts w:hint="eastAsia"/>
          <w:color w:val="000000"/>
          <w:sz w:val="24"/>
        </w:rPr>
        <w:t>除杂和切段</w:t>
      </w:r>
      <w:r>
        <w:rPr>
          <w:rFonts w:hint="eastAsia"/>
          <w:color w:val="000000"/>
          <w:sz w:val="24"/>
          <w:lang w:val="en-US" w:eastAsia="zh-CN"/>
        </w:rPr>
        <w:t>式</w:t>
      </w:r>
      <w:r>
        <w:rPr>
          <w:rFonts w:hint="eastAsia"/>
          <w:color w:val="000000"/>
          <w:sz w:val="24"/>
        </w:rPr>
        <w:t>除杂两种类型</w:t>
      </w:r>
      <w:r>
        <w:rPr>
          <w:rFonts w:hint="eastAsia"/>
          <w:color w:val="000000"/>
          <w:sz w:val="24"/>
          <w:lang w:eastAsia="zh-CN"/>
        </w:rPr>
        <w:t>。</w:t>
      </w:r>
      <w:r>
        <w:rPr>
          <w:rFonts w:hint="eastAsia"/>
          <w:color w:val="000000"/>
          <w:sz w:val="24"/>
          <w:lang w:val="en-US" w:eastAsia="zh-CN"/>
        </w:rPr>
        <w:t>采用切段式除杂的原料蔗</w:t>
      </w:r>
      <w:r>
        <w:rPr>
          <w:rFonts w:hint="eastAsia"/>
          <w:color w:val="000000"/>
          <w:sz w:val="24"/>
        </w:rPr>
        <w:t>应24小时内进入</w:t>
      </w:r>
      <w:r>
        <w:rPr>
          <w:rFonts w:hint="eastAsia"/>
          <w:color w:val="000000"/>
          <w:sz w:val="24"/>
          <w:lang w:eastAsia="zh-CN"/>
        </w:rPr>
        <w:t>制糖企业</w:t>
      </w:r>
      <w:r>
        <w:rPr>
          <w:rFonts w:hint="eastAsia"/>
          <w:color w:val="000000"/>
          <w:sz w:val="24"/>
        </w:rPr>
        <w:t>压榨</w:t>
      </w:r>
      <w:r>
        <w:rPr>
          <w:rFonts w:hint="eastAsia"/>
          <w:color w:val="000000"/>
          <w:sz w:val="24"/>
          <w:lang w:eastAsia="zh-CN"/>
        </w:rPr>
        <w:t>，</w:t>
      </w:r>
      <w:r>
        <w:rPr>
          <w:rFonts w:hint="eastAsia"/>
          <w:color w:val="000000"/>
          <w:sz w:val="24"/>
          <w:lang w:val="en-US" w:eastAsia="zh-CN"/>
        </w:rPr>
        <w:t>采用整秆式除杂的原料蔗也应尽快进入制糖企业压榨</w:t>
      </w:r>
      <w:r>
        <w:rPr>
          <w:rFonts w:hint="eastAsia"/>
          <w:color w:val="000000"/>
          <w:sz w:val="24"/>
        </w:rPr>
        <w:t>。</w:t>
      </w:r>
      <w:bookmarkEnd w:id="81"/>
    </w:p>
    <w:p>
      <w:pPr>
        <w:widowControl/>
        <w:numPr>
          <w:ilvl w:val="1"/>
          <w:numId w:val="0"/>
        </w:numPr>
        <w:spacing w:before="156" w:beforeLines="50" w:after="156" w:afterLines="50" w:line="360" w:lineRule="auto"/>
        <w:jc w:val="left"/>
        <w:outlineLvl w:val="2"/>
        <w:rPr>
          <w:color w:val="000000"/>
          <w:sz w:val="24"/>
        </w:rPr>
      </w:pPr>
      <w:bookmarkStart w:id="82" w:name="_Toc17536"/>
      <w:r>
        <w:rPr>
          <w:rFonts w:hint="eastAsia" w:eastAsia="黑体"/>
          <w:bCs/>
          <w:color w:val="000000"/>
          <w:sz w:val="24"/>
        </w:rPr>
        <w:t xml:space="preserve">6.2 </w:t>
      </w:r>
      <w:r>
        <w:rPr>
          <w:rFonts w:hint="eastAsia"/>
          <w:color w:val="000000"/>
          <w:sz w:val="24"/>
        </w:rPr>
        <w:t>集中除杂点</w:t>
      </w:r>
      <w:bookmarkEnd w:id="82"/>
      <w:r>
        <w:rPr>
          <w:rFonts w:hint="eastAsia"/>
          <w:color w:val="000000"/>
          <w:sz w:val="24"/>
        </w:rPr>
        <w:t>可固定场地安装设施设备进行作业，亦可采用转场运输设备进行流动作业；</w:t>
      </w:r>
    </w:p>
    <w:p>
      <w:pPr>
        <w:widowControl/>
        <w:numPr>
          <w:ilvl w:val="1"/>
          <w:numId w:val="0"/>
        </w:numPr>
        <w:spacing w:before="156" w:beforeLines="50" w:after="156" w:afterLines="50" w:line="360" w:lineRule="auto"/>
        <w:jc w:val="left"/>
        <w:outlineLvl w:val="2"/>
        <w:rPr>
          <w:color w:val="000000"/>
          <w:sz w:val="24"/>
        </w:rPr>
      </w:pPr>
      <w:bookmarkStart w:id="83" w:name="_Toc2463"/>
      <w:r>
        <w:rPr>
          <w:rFonts w:hint="eastAsia"/>
          <w:color w:val="000000"/>
          <w:sz w:val="24"/>
        </w:rPr>
        <w:t>6.3 集中除杂点应在</w:t>
      </w:r>
      <w:r>
        <w:rPr>
          <w:rFonts w:hint="eastAsia"/>
          <w:color w:val="000000"/>
          <w:sz w:val="24"/>
          <w:lang w:eastAsia="zh-CN"/>
        </w:rPr>
        <w:t>制糖企业</w:t>
      </w:r>
      <w:r>
        <w:rPr>
          <w:rFonts w:hint="eastAsia"/>
          <w:color w:val="000000"/>
          <w:sz w:val="24"/>
        </w:rPr>
        <w:t>所辖蔗区进行科学布局。应充分考虑</w:t>
      </w:r>
      <w:r>
        <w:rPr>
          <w:rFonts w:hint="eastAsia"/>
          <w:color w:val="000000"/>
          <w:sz w:val="24"/>
          <w:lang w:eastAsia="zh-CN"/>
        </w:rPr>
        <w:t>制糖企业</w:t>
      </w:r>
      <w:r>
        <w:rPr>
          <w:rFonts w:hint="eastAsia"/>
          <w:color w:val="000000"/>
          <w:sz w:val="24"/>
        </w:rPr>
        <w:t>原料蔗日榨量、原料蔗运力安排、除杂点基础设施设备、运行成本的投资及回收预期、除杂点服务面积、除杂效率、碎叶预处理效率、除杂点至</w:t>
      </w:r>
      <w:r>
        <w:rPr>
          <w:rFonts w:hint="eastAsia"/>
          <w:color w:val="000000"/>
          <w:sz w:val="24"/>
          <w:lang w:eastAsia="zh-CN"/>
        </w:rPr>
        <w:t>制糖企业</w:t>
      </w:r>
      <w:r>
        <w:rPr>
          <w:rFonts w:hint="eastAsia"/>
          <w:color w:val="000000"/>
          <w:sz w:val="24"/>
        </w:rPr>
        <w:t>的运距、碎叶综合利用配套产业以及相关物流条件等诸多关联要素，本着满足原料蔗稳定供给、保证原料蔗新鲜度、除杂点经营的经济性与可持续性原则进行布点建设；</w:t>
      </w:r>
      <w:bookmarkEnd w:id="83"/>
    </w:p>
    <w:p>
      <w:pPr>
        <w:widowControl/>
        <w:numPr>
          <w:ilvl w:val="1"/>
          <w:numId w:val="0"/>
        </w:numPr>
        <w:spacing w:before="156" w:beforeLines="50" w:after="156" w:afterLines="50" w:line="360" w:lineRule="auto"/>
        <w:jc w:val="left"/>
        <w:outlineLvl w:val="2"/>
        <w:rPr>
          <w:color w:val="000000"/>
          <w:sz w:val="24"/>
        </w:rPr>
      </w:pPr>
      <w:bookmarkStart w:id="84" w:name="_Toc21159"/>
      <w:r>
        <w:rPr>
          <w:rFonts w:hint="eastAsia"/>
          <w:color w:val="000000"/>
          <w:sz w:val="24"/>
        </w:rPr>
        <w:t>6.4 集中除杂点应具备便利的道路交通条件；满足设施设备安装运行以及原料蔗、碎叶秸秆等多样化物资的装卸、储放、物流进出、人员安全、</w:t>
      </w:r>
      <w:r>
        <w:rPr>
          <w:rFonts w:hint="eastAsia"/>
          <w:color w:val="000000"/>
          <w:sz w:val="24"/>
          <w:lang w:val="en-US" w:eastAsia="zh-CN"/>
        </w:rPr>
        <w:t>消防、</w:t>
      </w:r>
      <w:r>
        <w:rPr>
          <w:rFonts w:hint="eastAsia"/>
          <w:color w:val="000000"/>
          <w:sz w:val="24"/>
        </w:rPr>
        <w:t>扬尘及噪声污染管理等所需的场地和配套的用电、用水等要求；</w:t>
      </w:r>
      <w:bookmarkEnd w:id="84"/>
    </w:p>
    <w:p>
      <w:pPr>
        <w:widowControl/>
        <w:numPr>
          <w:ilvl w:val="1"/>
          <w:numId w:val="0"/>
        </w:numPr>
        <w:spacing w:before="156" w:beforeLines="50" w:after="156" w:afterLines="50" w:line="360" w:lineRule="auto"/>
        <w:jc w:val="left"/>
        <w:outlineLvl w:val="2"/>
        <w:rPr>
          <w:rFonts w:hint="eastAsia"/>
          <w:color w:val="000000"/>
          <w:sz w:val="24"/>
        </w:rPr>
      </w:pPr>
      <w:bookmarkStart w:id="85" w:name="_Toc16658"/>
      <w:r>
        <w:rPr>
          <w:rFonts w:hint="eastAsia"/>
          <w:color w:val="000000"/>
          <w:sz w:val="24"/>
        </w:rPr>
        <w:t>6.5 集中除杂点一般包括原料蔗、碎叶</w:t>
      </w:r>
      <w:r>
        <w:rPr>
          <w:rFonts w:hint="eastAsia"/>
          <w:color w:val="000000"/>
          <w:sz w:val="24"/>
          <w:lang w:eastAsia="zh-CN"/>
        </w:rPr>
        <w:t>、</w:t>
      </w:r>
      <w:r>
        <w:rPr>
          <w:rFonts w:hint="eastAsia"/>
          <w:color w:val="000000"/>
          <w:sz w:val="24"/>
          <w:lang w:val="en-US" w:eastAsia="zh-CN"/>
        </w:rPr>
        <w:t>蔗梢</w:t>
      </w:r>
      <w:r>
        <w:rPr>
          <w:rFonts w:hint="eastAsia"/>
          <w:color w:val="000000"/>
          <w:sz w:val="24"/>
        </w:rPr>
        <w:t>等物资的装卸、储放场区及装载机械设备；原料蔗抓取、输送、除杂、收集、碎叶回收及预处理等设施设备</w:t>
      </w:r>
      <w:r>
        <w:rPr>
          <w:rFonts w:hint="eastAsia"/>
          <w:color w:val="000000"/>
          <w:sz w:val="24"/>
          <w:lang w:eastAsia="zh-CN"/>
        </w:rPr>
        <w:t>；</w:t>
      </w:r>
      <w:r>
        <w:rPr>
          <w:rFonts w:hint="eastAsia"/>
          <w:color w:val="000000"/>
          <w:sz w:val="24"/>
          <w:lang w:val="en-US" w:eastAsia="zh-CN"/>
        </w:rPr>
        <w:t>设备维修区域</w:t>
      </w:r>
      <w:r>
        <w:rPr>
          <w:rFonts w:hint="eastAsia"/>
          <w:color w:val="000000"/>
          <w:sz w:val="24"/>
        </w:rPr>
        <w:t>；物流进出路径等。工作人员应依规进行除杂质量和设备定期检查。</w:t>
      </w:r>
      <w:bookmarkEnd w:id="85"/>
    </w:p>
    <w:p>
      <w:pPr>
        <w:widowControl/>
        <w:numPr>
          <w:ilvl w:val="1"/>
          <w:numId w:val="0"/>
        </w:numPr>
        <w:spacing w:before="156" w:beforeLines="50" w:after="156" w:afterLines="50" w:line="360" w:lineRule="auto"/>
        <w:jc w:val="left"/>
        <w:outlineLvl w:val="2"/>
        <w:rPr>
          <w:rFonts w:hint="eastAsia"/>
          <w:color w:val="000000"/>
          <w:sz w:val="24"/>
          <w:lang w:val="en-US" w:eastAsia="zh-CN"/>
        </w:rPr>
      </w:pPr>
      <w:r>
        <w:rPr>
          <w:rFonts w:hint="eastAsia"/>
          <w:color w:val="000000"/>
          <w:sz w:val="24"/>
          <w:lang w:val="en-US" w:eastAsia="zh-CN"/>
        </w:rPr>
        <w:t>7 作业质量要求</w:t>
      </w:r>
    </w:p>
    <w:p>
      <w:pPr>
        <w:widowControl/>
        <w:numPr>
          <w:ilvl w:val="1"/>
          <w:numId w:val="0"/>
        </w:numPr>
        <w:spacing w:before="156" w:beforeLines="50" w:after="156" w:afterLines="50" w:line="360" w:lineRule="auto"/>
        <w:ind w:firstLine="480" w:firstLineChars="200"/>
        <w:jc w:val="left"/>
        <w:outlineLvl w:val="2"/>
        <w:rPr>
          <w:rFonts w:hint="default"/>
          <w:color w:val="000000"/>
          <w:sz w:val="24"/>
          <w:lang w:val="en-US" w:eastAsia="zh-CN"/>
        </w:rPr>
      </w:pPr>
      <w:bookmarkStart w:id="86" w:name="OLE_LINK2"/>
      <w:r>
        <w:rPr>
          <w:rFonts w:hint="eastAsia"/>
          <w:color w:val="000000"/>
          <w:sz w:val="24"/>
          <w:lang w:val="en-US" w:eastAsia="zh-CN"/>
        </w:rPr>
        <w:t>甘蔗分步协同机收的</w:t>
      </w:r>
      <w:bookmarkEnd w:id="86"/>
      <w:r>
        <w:rPr>
          <w:rFonts w:hint="eastAsia"/>
          <w:color w:val="000000"/>
          <w:sz w:val="24"/>
          <w:lang w:val="en-US" w:eastAsia="zh-CN"/>
        </w:rPr>
        <w:t>作业质量，包括田间切割高度合格率、宿根破头率，以及除杂后的甘蔗含杂率、未剥净率、蔗茎合格率、蔗段合格率和总损失率，应符合NY/T 2902文件规定要求。</w:t>
      </w:r>
    </w:p>
    <w:p>
      <w:pPr>
        <w:widowControl/>
        <w:numPr>
          <w:ilvl w:val="1"/>
          <w:numId w:val="0"/>
        </w:numPr>
        <w:spacing w:before="156" w:beforeLines="50" w:after="156" w:afterLines="50" w:line="360" w:lineRule="auto"/>
        <w:jc w:val="left"/>
        <w:outlineLvl w:val="2"/>
        <w:rPr>
          <w:rFonts w:hint="default" w:eastAsia="宋体"/>
          <w:color w:val="000000"/>
          <w:sz w:val="24"/>
          <w:lang w:val="en-US" w:eastAsia="zh-CN"/>
        </w:rPr>
      </w:pPr>
      <w:r>
        <w:rPr>
          <w:rFonts w:hint="eastAsia"/>
          <w:color w:val="000000"/>
          <w:sz w:val="24"/>
          <w:lang w:val="en-US" w:eastAsia="zh-CN"/>
        </w:rPr>
        <w:t xml:space="preserve"> </w:t>
      </w:r>
    </w:p>
    <w:p>
      <w:pPr>
        <w:pStyle w:val="131"/>
        <w:framePr w:wrap="around"/>
        <w:rPr>
          <w:b/>
          <w:bCs/>
        </w:rPr>
      </w:pPr>
      <w:r>
        <w:rPr>
          <w:b/>
          <w:bCs/>
        </w:rPr>
        <w:t>_________________________________</w:t>
      </w:r>
    </w:p>
    <w:sectPr>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4</w:t>
    </w:r>
    <w: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rPr>
        <w:rFonts w:hint="eastAsia" w:eastAsia="黑体"/>
        <w:lang w:eastAsia="zh-CN"/>
      </w:rPr>
    </w:pPr>
    <w:r>
      <w:rPr>
        <w:rFonts w:hint="eastAsia"/>
      </w:rPr>
      <w:t>T</w:t>
    </w:r>
    <w:r>
      <w:t>/</w:t>
    </w:r>
    <w:r>
      <w:rPr>
        <w:rFonts w:hint="eastAsia"/>
        <w:lang w:val="en-US" w:eastAsia="zh-CN"/>
      </w:rPr>
      <w:t>CATEA</w:t>
    </w:r>
    <w:r>
      <w:rPr>
        <w:rFonts w:hint="eastAsia"/>
      </w:rPr>
      <w:t xml:space="preserve"> </w:t>
    </w:r>
    <w:r>
      <w:rPr>
        <w:rFonts w:hint="eastAsia"/>
        <w:lang w:val="en-US" w:eastAsia="zh-CN"/>
      </w:rPr>
      <w:t>004</w:t>
    </w:r>
    <w:r>
      <w:t>—</w:t>
    </w:r>
    <w:r>
      <w:rPr>
        <w:rFonts w:hint="eastAsia"/>
      </w:rPr>
      <w:t>202</w:t>
    </w:r>
    <w:r>
      <w:rPr>
        <w:rFonts w:hint="eastAsia"/>
        <w:lang w:val="en-US" w:eastAsia="zh-CN"/>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9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4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6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9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98"/>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64"/>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63"/>
      <w:suff w:val="nothing"/>
      <w:lvlText w:val="%1.%2.%3　"/>
      <w:lvlJc w:val="left"/>
      <w:pPr>
        <w:ind w:left="0" w:firstLine="0"/>
      </w:pPr>
      <w:rPr>
        <w:rFonts w:hint="eastAsia" w:ascii="黑体" w:hAnsi="Times New Roman" w:eastAsia="黑体"/>
        <w:b w:val="0"/>
        <w:i w:val="0"/>
        <w:sz w:val="21"/>
      </w:rPr>
    </w:lvl>
    <w:lvl w:ilvl="3" w:tentative="0">
      <w:start w:val="1"/>
      <w:numFmt w:val="decimal"/>
      <w:pStyle w:val="75"/>
      <w:suff w:val="nothing"/>
      <w:lvlText w:val="%1.%2.%3.%4　"/>
      <w:lvlJc w:val="left"/>
      <w:pPr>
        <w:ind w:left="0" w:firstLine="0"/>
      </w:pPr>
      <w:rPr>
        <w:rFonts w:hint="eastAsia" w:ascii="黑体" w:hAnsi="Times New Roman" w:eastAsia="黑体"/>
        <w:b w:val="0"/>
        <w:i w:val="0"/>
        <w:sz w:val="21"/>
      </w:rPr>
    </w:lvl>
    <w:lvl w:ilvl="4" w:tentative="0">
      <w:start w:val="1"/>
      <w:numFmt w:val="decimal"/>
      <w:pStyle w:val="77"/>
      <w:suff w:val="nothing"/>
      <w:lvlText w:val="%1.%2.%3.%4.%5　"/>
      <w:lvlJc w:val="left"/>
      <w:pPr>
        <w:ind w:left="0" w:firstLine="0"/>
      </w:pPr>
      <w:rPr>
        <w:rFonts w:hint="eastAsia" w:ascii="黑体" w:hAnsi="Times New Roman" w:eastAsia="黑体"/>
        <w:b w:val="0"/>
        <w:i w:val="0"/>
        <w:sz w:val="21"/>
      </w:rPr>
    </w:lvl>
    <w:lvl w:ilvl="5" w:tentative="0">
      <w:start w:val="1"/>
      <w:numFmt w:val="decimal"/>
      <w:pStyle w:val="7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54"/>
      <w:suff w:val="space"/>
      <w:lvlText w:val="%1"/>
      <w:lvlJc w:val="left"/>
      <w:pPr>
        <w:ind w:left="623" w:hanging="425"/>
      </w:pPr>
      <w:rPr>
        <w:rFonts w:hint="eastAsia"/>
      </w:rPr>
    </w:lvl>
    <w:lvl w:ilvl="1" w:tentative="0">
      <w:start w:val="1"/>
      <w:numFmt w:val="decimal"/>
      <w:pStyle w:val="11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93"/>
      <w:suff w:val="nothing"/>
      <w:lvlText w:val="%1——"/>
      <w:lvlJc w:val="left"/>
      <w:pPr>
        <w:ind w:left="833" w:hanging="408"/>
      </w:pPr>
      <w:rPr>
        <w:rFonts w:hint="eastAsia"/>
      </w:rPr>
    </w:lvl>
    <w:lvl w:ilvl="1" w:tentative="0">
      <w:start w:val="1"/>
      <w:numFmt w:val="bullet"/>
      <w:pStyle w:val="102"/>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86"/>
      <w:lvlText w:val="%1)"/>
      <w:lvlJc w:val="left"/>
      <w:pPr>
        <w:tabs>
          <w:tab w:val="left" w:pos="840"/>
        </w:tabs>
        <w:ind w:left="839" w:hanging="419"/>
      </w:pPr>
      <w:rPr>
        <w:rFonts w:hint="eastAsia" w:ascii="宋体" w:eastAsia="宋体"/>
        <w:b w:val="0"/>
        <w:i w:val="0"/>
        <w:sz w:val="21"/>
        <w:szCs w:val="21"/>
      </w:rPr>
    </w:lvl>
    <w:lvl w:ilvl="1" w:tentative="0">
      <w:start w:val="1"/>
      <w:numFmt w:val="decimal"/>
      <w:pStyle w:val="70"/>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tentative="0">
      <w:start w:val="1"/>
      <w:numFmt w:val="decimal"/>
      <w:pStyle w:val="59"/>
      <w:suff w:val="nothing"/>
      <w:lvlText w:val="示例%1："/>
      <w:lvlJc w:val="left"/>
      <w:pPr>
        <w:ind w:left="0" w:firstLine="363"/>
      </w:pPr>
      <w:rPr>
        <w:rFonts w:hint="eastAsia" w:ascii="黑体" w:hAnsi="黑体" w:eastAsia="黑体"/>
        <w:b w:val="0"/>
        <w:i w:val="0"/>
        <w:sz w:val="18"/>
        <w:szCs w:val="18"/>
        <w:vertAlign w:val="baseline"/>
      </w:rPr>
    </w:lvl>
    <w:lvl w:ilvl="1" w:tentative="0">
      <w:start w:val="1"/>
      <w:numFmt w:val="lowerLetter"/>
      <w:lvlText w:val="%2)"/>
      <w:lvlJc w:val="left"/>
      <w:pPr>
        <w:ind w:left="0" w:firstLine="0"/>
      </w:pPr>
      <w:rPr>
        <w:rFonts w:hint="eastAsia"/>
        <w:vertAlign w:val="baseline"/>
      </w:rPr>
    </w:lvl>
    <w:lvl w:ilvl="2" w:tentative="0">
      <w:start w:val="1"/>
      <w:numFmt w:val="lowerRoman"/>
      <w:lvlText w:val="%3."/>
      <w:lvlJc w:val="right"/>
      <w:pPr>
        <w:ind w:left="839" w:hanging="442"/>
      </w:pPr>
      <w:rPr>
        <w:rFonts w:hint="eastAsia"/>
        <w:vertAlign w:val="baseline"/>
      </w:rPr>
    </w:lvl>
    <w:lvl w:ilvl="3" w:tentative="0">
      <w:start w:val="1"/>
      <w:numFmt w:val="decimal"/>
      <w:lvlText w:val="%4."/>
      <w:lvlJc w:val="left"/>
      <w:pPr>
        <w:ind w:left="839" w:hanging="442"/>
      </w:pPr>
      <w:rPr>
        <w:rFonts w:hint="eastAsia"/>
        <w:vertAlign w:val="baseline"/>
      </w:rPr>
    </w:lvl>
    <w:lvl w:ilvl="4" w:tentative="0">
      <w:start w:val="1"/>
      <w:numFmt w:val="lowerLetter"/>
      <w:lvlText w:val="%5)"/>
      <w:lvlJc w:val="left"/>
      <w:pPr>
        <w:ind w:left="839" w:hanging="442"/>
      </w:pPr>
      <w:rPr>
        <w:rFonts w:hint="eastAsia"/>
        <w:vertAlign w:val="baseline"/>
      </w:rPr>
    </w:lvl>
    <w:lvl w:ilvl="5" w:tentative="0">
      <w:start w:val="1"/>
      <w:numFmt w:val="lowerRoman"/>
      <w:lvlText w:val="%6."/>
      <w:lvlJc w:val="right"/>
      <w:pPr>
        <w:ind w:left="839" w:hanging="442"/>
      </w:pPr>
      <w:rPr>
        <w:rFonts w:hint="eastAsia"/>
        <w:vertAlign w:val="baseline"/>
      </w:rPr>
    </w:lvl>
    <w:lvl w:ilvl="6" w:tentative="0">
      <w:start w:val="1"/>
      <w:numFmt w:val="decimal"/>
      <w:lvlText w:val="%7."/>
      <w:lvlJc w:val="left"/>
      <w:pPr>
        <w:ind w:left="839" w:hanging="442"/>
      </w:pPr>
      <w:rPr>
        <w:rFonts w:hint="eastAsia"/>
        <w:vertAlign w:val="baseline"/>
      </w:rPr>
    </w:lvl>
    <w:lvl w:ilvl="7" w:tentative="0">
      <w:start w:val="1"/>
      <w:numFmt w:val="lowerLetter"/>
      <w:lvlText w:val="%8)"/>
      <w:lvlJc w:val="left"/>
      <w:pPr>
        <w:ind w:left="839" w:hanging="442"/>
      </w:pPr>
      <w:rPr>
        <w:rFonts w:hint="eastAsia"/>
        <w:vertAlign w:val="baseline"/>
      </w:rPr>
    </w:lvl>
    <w:lvl w:ilvl="8" w:tentative="0">
      <w:start w:val="1"/>
      <w:numFmt w:val="lowerRoman"/>
      <w:lvlText w:val="%9."/>
      <w:lvlJc w:val="right"/>
      <w:pPr>
        <w:ind w:left="839" w:hanging="442"/>
      </w:pPr>
      <w:rPr>
        <w:rFonts w:hint="eastAsia"/>
        <w:vertAlign w:val="baseline"/>
      </w:rPr>
    </w:lvl>
  </w:abstractNum>
  <w:abstractNum w:abstractNumId="11">
    <w:nsid w:val="557C2AF5"/>
    <w:multiLevelType w:val="multilevel"/>
    <w:tmpl w:val="557C2AF5"/>
    <w:lvl w:ilvl="0" w:tentative="0">
      <w:start w:val="1"/>
      <w:numFmt w:val="decimal"/>
      <w:pStyle w:val="12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104"/>
      <w:lvlText w:val="%1"/>
      <w:lvlJc w:val="left"/>
      <w:pPr>
        <w:tabs>
          <w:tab w:val="left" w:pos="0"/>
        </w:tabs>
        <w:ind w:left="0" w:hanging="425"/>
      </w:pPr>
      <w:rPr>
        <w:rFonts w:hint="eastAsia"/>
      </w:rPr>
    </w:lvl>
    <w:lvl w:ilvl="1" w:tentative="0">
      <w:start w:val="1"/>
      <w:numFmt w:val="decimal"/>
      <w:pStyle w:val="11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8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10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5"/>
      <w:suff w:val="nothing"/>
      <w:lvlText w:val="%1.%2.%3　"/>
      <w:lvlJc w:val="left"/>
      <w:pPr>
        <w:ind w:left="0" w:firstLine="0"/>
      </w:pPr>
      <w:rPr>
        <w:rFonts w:hint="eastAsia" w:ascii="黑体" w:hAnsi="Times New Roman" w:eastAsia="黑体"/>
        <w:b w:val="0"/>
        <w:i w:val="0"/>
        <w:sz w:val="21"/>
      </w:rPr>
    </w:lvl>
    <w:lvl w:ilvl="3" w:tentative="0">
      <w:start w:val="1"/>
      <w:numFmt w:val="decimal"/>
      <w:pStyle w:val="53"/>
      <w:suff w:val="nothing"/>
      <w:lvlText w:val="%1.%2.%3.%4　"/>
      <w:lvlJc w:val="left"/>
      <w:pPr>
        <w:ind w:left="0" w:firstLine="0"/>
      </w:pPr>
      <w:rPr>
        <w:rFonts w:hint="eastAsia" w:ascii="黑体" w:hAnsi="Times New Roman" w:eastAsia="黑体"/>
        <w:b w:val="0"/>
        <w:i w:val="0"/>
        <w:sz w:val="21"/>
      </w:rPr>
    </w:lvl>
    <w:lvl w:ilvl="4" w:tentative="0">
      <w:start w:val="1"/>
      <w:numFmt w:val="decimal"/>
      <w:pStyle w:val="52"/>
      <w:suff w:val="nothing"/>
      <w:lvlText w:val="%1.%2.%3.%4.%5　"/>
      <w:lvlJc w:val="left"/>
      <w:pPr>
        <w:ind w:left="0" w:firstLine="0"/>
      </w:pPr>
      <w:rPr>
        <w:rFonts w:hint="eastAsia" w:ascii="黑体" w:hAnsi="Times New Roman" w:eastAsia="黑体"/>
        <w:b w:val="0"/>
        <w:i w:val="0"/>
        <w:sz w:val="21"/>
      </w:rPr>
    </w:lvl>
    <w:lvl w:ilvl="5" w:tentative="0">
      <w:start w:val="1"/>
      <w:numFmt w:val="decimal"/>
      <w:pStyle w:val="57"/>
      <w:suff w:val="nothing"/>
      <w:lvlText w:val="%1.%2.%3.%4.%5.%6　"/>
      <w:lvlJc w:val="left"/>
      <w:pPr>
        <w:ind w:left="0" w:firstLine="0"/>
      </w:pPr>
      <w:rPr>
        <w:rFonts w:hint="eastAsia" w:ascii="黑体" w:hAnsi="Times New Roman" w:eastAsia="黑体"/>
        <w:b w:val="0"/>
        <w:i w:val="0"/>
        <w:sz w:val="21"/>
      </w:rPr>
    </w:lvl>
    <w:lvl w:ilvl="6" w:tentative="0">
      <w:start w:val="1"/>
      <w:numFmt w:val="decimal"/>
      <w:pStyle w:val="6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20"/>
      <w:lvlText w:val="%1)"/>
      <w:lvlJc w:val="left"/>
      <w:pPr>
        <w:tabs>
          <w:tab w:val="left" w:pos="839"/>
        </w:tabs>
        <w:ind w:left="839" w:hanging="419"/>
      </w:pPr>
      <w:rPr>
        <w:rFonts w:hint="eastAsia" w:ascii="宋体" w:eastAsia="宋体"/>
        <w:b w:val="0"/>
        <w:i w:val="0"/>
        <w:sz w:val="21"/>
      </w:rPr>
    </w:lvl>
    <w:lvl w:ilvl="1" w:tentative="0">
      <w:start w:val="1"/>
      <w:numFmt w:val="decimal"/>
      <w:pStyle w:val="7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5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7">
    <w:nsid w:val="71E10BC2"/>
    <w:multiLevelType w:val="multilevel"/>
    <w:tmpl w:val="71E10BC2"/>
    <w:lvl w:ilvl="0" w:tentative="0">
      <w:start w:val="1"/>
      <w:numFmt w:val="decimal"/>
      <w:pStyle w:val="6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8"/>
  </w:num>
  <w:num w:numId="2">
    <w:abstractNumId w:val="1"/>
  </w:num>
  <w:num w:numId="3">
    <w:abstractNumId w:val="14"/>
  </w:num>
  <w:num w:numId="4">
    <w:abstractNumId w:val="6"/>
  </w:num>
  <w:num w:numId="5">
    <w:abstractNumId w:val="16"/>
  </w:num>
  <w:num w:numId="6">
    <w:abstractNumId w:val="10"/>
  </w:num>
  <w:num w:numId="7">
    <w:abstractNumId w:val="17"/>
  </w:num>
  <w:num w:numId="8">
    <w:abstractNumId w:val="2"/>
  </w:num>
  <w:num w:numId="9">
    <w:abstractNumId w:val="5"/>
  </w:num>
  <w:num w:numId="10">
    <w:abstractNumId w:val="9"/>
  </w:num>
  <w:num w:numId="11">
    <w:abstractNumId w:val="15"/>
  </w:num>
  <w:num w:numId="12">
    <w:abstractNumId w:val="13"/>
  </w:num>
  <w:num w:numId="13">
    <w:abstractNumId w:val="3"/>
  </w:num>
  <w:num w:numId="14">
    <w:abstractNumId w:val="7"/>
  </w:num>
  <w:num w:numId="15">
    <w:abstractNumId w:val="4"/>
  </w:num>
  <w:num w:numId="16">
    <w:abstractNumId w:val="0"/>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wMTcxZjUzZDVmODk4M2MyMmFmN2YwMmY4YTc4Y2MifQ=="/>
  </w:docVars>
  <w:rsids>
    <w:rsidRoot w:val="00035925"/>
    <w:rsid w:val="00000244"/>
    <w:rsid w:val="00000760"/>
    <w:rsid w:val="00000B79"/>
    <w:rsid w:val="0000185F"/>
    <w:rsid w:val="00001ACA"/>
    <w:rsid w:val="00004004"/>
    <w:rsid w:val="0000586F"/>
    <w:rsid w:val="00006747"/>
    <w:rsid w:val="0001288F"/>
    <w:rsid w:val="00013D86"/>
    <w:rsid w:val="00013E02"/>
    <w:rsid w:val="0001717F"/>
    <w:rsid w:val="0002143C"/>
    <w:rsid w:val="00024FE7"/>
    <w:rsid w:val="00025A65"/>
    <w:rsid w:val="0002678B"/>
    <w:rsid w:val="00026C31"/>
    <w:rsid w:val="00027280"/>
    <w:rsid w:val="0003049B"/>
    <w:rsid w:val="000305CF"/>
    <w:rsid w:val="000320A7"/>
    <w:rsid w:val="00032D2A"/>
    <w:rsid w:val="00033526"/>
    <w:rsid w:val="000355A2"/>
    <w:rsid w:val="00035925"/>
    <w:rsid w:val="00041772"/>
    <w:rsid w:val="00051139"/>
    <w:rsid w:val="00055AED"/>
    <w:rsid w:val="00056EEF"/>
    <w:rsid w:val="00057020"/>
    <w:rsid w:val="000643B2"/>
    <w:rsid w:val="000660D2"/>
    <w:rsid w:val="000669A7"/>
    <w:rsid w:val="00067CDF"/>
    <w:rsid w:val="00073EE2"/>
    <w:rsid w:val="00074FBE"/>
    <w:rsid w:val="000751F8"/>
    <w:rsid w:val="00083A09"/>
    <w:rsid w:val="0008480D"/>
    <w:rsid w:val="0009005E"/>
    <w:rsid w:val="00090A87"/>
    <w:rsid w:val="00092857"/>
    <w:rsid w:val="000A20A9"/>
    <w:rsid w:val="000A48B1"/>
    <w:rsid w:val="000A593D"/>
    <w:rsid w:val="000B23AE"/>
    <w:rsid w:val="000B3143"/>
    <w:rsid w:val="000C4B9F"/>
    <w:rsid w:val="000C6B05"/>
    <w:rsid w:val="000C6DD6"/>
    <w:rsid w:val="000C73D4"/>
    <w:rsid w:val="000D038F"/>
    <w:rsid w:val="000D22C0"/>
    <w:rsid w:val="000D3D4C"/>
    <w:rsid w:val="000D4F51"/>
    <w:rsid w:val="000D54A4"/>
    <w:rsid w:val="000D718B"/>
    <w:rsid w:val="000E0357"/>
    <w:rsid w:val="000E0C46"/>
    <w:rsid w:val="000F030C"/>
    <w:rsid w:val="000F129C"/>
    <w:rsid w:val="000F272C"/>
    <w:rsid w:val="000F5183"/>
    <w:rsid w:val="000F5E92"/>
    <w:rsid w:val="00101843"/>
    <w:rsid w:val="00103CFB"/>
    <w:rsid w:val="001056DE"/>
    <w:rsid w:val="00111C79"/>
    <w:rsid w:val="001124C0"/>
    <w:rsid w:val="00113B15"/>
    <w:rsid w:val="00115A8F"/>
    <w:rsid w:val="00117349"/>
    <w:rsid w:val="00117BA5"/>
    <w:rsid w:val="0012195E"/>
    <w:rsid w:val="00122E61"/>
    <w:rsid w:val="00125B1A"/>
    <w:rsid w:val="001314E1"/>
    <w:rsid w:val="0013175F"/>
    <w:rsid w:val="001328A8"/>
    <w:rsid w:val="00142200"/>
    <w:rsid w:val="00142A91"/>
    <w:rsid w:val="0014347C"/>
    <w:rsid w:val="001453E0"/>
    <w:rsid w:val="00147B11"/>
    <w:rsid w:val="0015016E"/>
    <w:rsid w:val="00150A64"/>
    <w:rsid w:val="00150B60"/>
    <w:rsid w:val="001512B4"/>
    <w:rsid w:val="00151DDE"/>
    <w:rsid w:val="001620A5"/>
    <w:rsid w:val="00164E53"/>
    <w:rsid w:val="0016699D"/>
    <w:rsid w:val="00167EBD"/>
    <w:rsid w:val="001710ED"/>
    <w:rsid w:val="0017144C"/>
    <w:rsid w:val="00175159"/>
    <w:rsid w:val="00176208"/>
    <w:rsid w:val="0017682F"/>
    <w:rsid w:val="00177440"/>
    <w:rsid w:val="0018211B"/>
    <w:rsid w:val="001840D3"/>
    <w:rsid w:val="00185E11"/>
    <w:rsid w:val="00186359"/>
    <w:rsid w:val="001900F8"/>
    <w:rsid w:val="00191258"/>
    <w:rsid w:val="00192680"/>
    <w:rsid w:val="00193037"/>
    <w:rsid w:val="00193A2C"/>
    <w:rsid w:val="00197A62"/>
    <w:rsid w:val="001A288E"/>
    <w:rsid w:val="001A31E8"/>
    <w:rsid w:val="001A44E6"/>
    <w:rsid w:val="001A56F3"/>
    <w:rsid w:val="001B1748"/>
    <w:rsid w:val="001B6DC2"/>
    <w:rsid w:val="001C149C"/>
    <w:rsid w:val="001C1B79"/>
    <w:rsid w:val="001C21AC"/>
    <w:rsid w:val="001C2B2D"/>
    <w:rsid w:val="001C47BA"/>
    <w:rsid w:val="001C59D1"/>
    <w:rsid w:val="001C59EA"/>
    <w:rsid w:val="001C6CE3"/>
    <w:rsid w:val="001D1D4F"/>
    <w:rsid w:val="001D406C"/>
    <w:rsid w:val="001D41EE"/>
    <w:rsid w:val="001E0380"/>
    <w:rsid w:val="001E13B1"/>
    <w:rsid w:val="001E14D0"/>
    <w:rsid w:val="001E1F4D"/>
    <w:rsid w:val="001E2E21"/>
    <w:rsid w:val="001E6789"/>
    <w:rsid w:val="001F13E8"/>
    <w:rsid w:val="001F1889"/>
    <w:rsid w:val="001F3A19"/>
    <w:rsid w:val="001F6047"/>
    <w:rsid w:val="00205885"/>
    <w:rsid w:val="00206E66"/>
    <w:rsid w:val="002108BA"/>
    <w:rsid w:val="00215DCE"/>
    <w:rsid w:val="00222B58"/>
    <w:rsid w:val="0023154F"/>
    <w:rsid w:val="00234467"/>
    <w:rsid w:val="00237D8D"/>
    <w:rsid w:val="00241DA2"/>
    <w:rsid w:val="00247FEE"/>
    <w:rsid w:val="002502F4"/>
    <w:rsid w:val="00250E7D"/>
    <w:rsid w:val="002525F1"/>
    <w:rsid w:val="002531E6"/>
    <w:rsid w:val="00256112"/>
    <w:rsid w:val="002565D5"/>
    <w:rsid w:val="0025723C"/>
    <w:rsid w:val="002622C0"/>
    <w:rsid w:val="0026415F"/>
    <w:rsid w:val="002767B2"/>
    <w:rsid w:val="002778AE"/>
    <w:rsid w:val="00277A82"/>
    <w:rsid w:val="00282062"/>
    <w:rsid w:val="0028269A"/>
    <w:rsid w:val="00282B82"/>
    <w:rsid w:val="00283590"/>
    <w:rsid w:val="002847A0"/>
    <w:rsid w:val="0028624E"/>
    <w:rsid w:val="00286973"/>
    <w:rsid w:val="00287DB7"/>
    <w:rsid w:val="00294E70"/>
    <w:rsid w:val="002A0A38"/>
    <w:rsid w:val="002A1924"/>
    <w:rsid w:val="002A1A9A"/>
    <w:rsid w:val="002A40F6"/>
    <w:rsid w:val="002A7420"/>
    <w:rsid w:val="002B061B"/>
    <w:rsid w:val="002B0F12"/>
    <w:rsid w:val="002B1308"/>
    <w:rsid w:val="002B4554"/>
    <w:rsid w:val="002B769E"/>
    <w:rsid w:val="002C72D8"/>
    <w:rsid w:val="002C779E"/>
    <w:rsid w:val="002D11FA"/>
    <w:rsid w:val="002D2963"/>
    <w:rsid w:val="002D35DE"/>
    <w:rsid w:val="002D5F9A"/>
    <w:rsid w:val="002D6071"/>
    <w:rsid w:val="002E085C"/>
    <w:rsid w:val="002E0DDF"/>
    <w:rsid w:val="002E1DCC"/>
    <w:rsid w:val="002E2906"/>
    <w:rsid w:val="002E5635"/>
    <w:rsid w:val="002E64C3"/>
    <w:rsid w:val="002E6A2C"/>
    <w:rsid w:val="002F1D8C"/>
    <w:rsid w:val="002F21DA"/>
    <w:rsid w:val="00301F39"/>
    <w:rsid w:val="00303108"/>
    <w:rsid w:val="003108A3"/>
    <w:rsid w:val="0031495B"/>
    <w:rsid w:val="003165CA"/>
    <w:rsid w:val="00325926"/>
    <w:rsid w:val="00327A8A"/>
    <w:rsid w:val="00333E31"/>
    <w:rsid w:val="0033510E"/>
    <w:rsid w:val="00336610"/>
    <w:rsid w:val="00343F73"/>
    <w:rsid w:val="00345060"/>
    <w:rsid w:val="00346569"/>
    <w:rsid w:val="00350C3D"/>
    <w:rsid w:val="0035323B"/>
    <w:rsid w:val="00356008"/>
    <w:rsid w:val="003609D2"/>
    <w:rsid w:val="00363F22"/>
    <w:rsid w:val="00364DEA"/>
    <w:rsid w:val="00364EEE"/>
    <w:rsid w:val="003650CE"/>
    <w:rsid w:val="00375564"/>
    <w:rsid w:val="00376F2F"/>
    <w:rsid w:val="00383191"/>
    <w:rsid w:val="00386DED"/>
    <w:rsid w:val="003912E7"/>
    <w:rsid w:val="00393947"/>
    <w:rsid w:val="003A05FC"/>
    <w:rsid w:val="003A2275"/>
    <w:rsid w:val="003A6A4F"/>
    <w:rsid w:val="003A7088"/>
    <w:rsid w:val="003B00DF"/>
    <w:rsid w:val="003B1275"/>
    <w:rsid w:val="003B1778"/>
    <w:rsid w:val="003B41A8"/>
    <w:rsid w:val="003B7B09"/>
    <w:rsid w:val="003C11CB"/>
    <w:rsid w:val="003C4D5F"/>
    <w:rsid w:val="003C6517"/>
    <w:rsid w:val="003C75F3"/>
    <w:rsid w:val="003C78A3"/>
    <w:rsid w:val="003C7920"/>
    <w:rsid w:val="003D3FEA"/>
    <w:rsid w:val="003D4736"/>
    <w:rsid w:val="003E0B4C"/>
    <w:rsid w:val="003E1867"/>
    <w:rsid w:val="003E245A"/>
    <w:rsid w:val="003E26EA"/>
    <w:rsid w:val="003E56CB"/>
    <w:rsid w:val="003E5729"/>
    <w:rsid w:val="003F0909"/>
    <w:rsid w:val="003F4EE0"/>
    <w:rsid w:val="003F7474"/>
    <w:rsid w:val="004017C5"/>
    <w:rsid w:val="00402153"/>
    <w:rsid w:val="00402FC1"/>
    <w:rsid w:val="00405F92"/>
    <w:rsid w:val="0042310D"/>
    <w:rsid w:val="00425082"/>
    <w:rsid w:val="00430CA3"/>
    <w:rsid w:val="00431DEB"/>
    <w:rsid w:val="00432CFD"/>
    <w:rsid w:val="00440F69"/>
    <w:rsid w:val="0044101D"/>
    <w:rsid w:val="00443761"/>
    <w:rsid w:val="00444C8A"/>
    <w:rsid w:val="00444EBC"/>
    <w:rsid w:val="00446B29"/>
    <w:rsid w:val="00452465"/>
    <w:rsid w:val="00453F9A"/>
    <w:rsid w:val="00456301"/>
    <w:rsid w:val="00466A3B"/>
    <w:rsid w:val="00470A33"/>
    <w:rsid w:val="00471848"/>
    <w:rsid w:val="00471E91"/>
    <w:rsid w:val="00473580"/>
    <w:rsid w:val="00474675"/>
    <w:rsid w:val="0047470C"/>
    <w:rsid w:val="00480C63"/>
    <w:rsid w:val="00493712"/>
    <w:rsid w:val="004972D4"/>
    <w:rsid w:val="004A35F9"/>
    <w:rsid w:val="004B03BE"/>
    <w:rsid w:val="004B0D47"/>
    <w:rsid w:val="004B24C1"/>
    <w:rsid w:val="004B3A4C"/>
    <w:rsid w:val="004C28D5"/>
    <w:rsid w:val="004C292F"/>
    <w:rsid w:val="004C7BBE"/>
    <w:rsid w:val="004D1900"/>
    <w:rsid w:val="004D47B3"/>
    <w:rsid w:val="004E42FE"/>
    <w:rsid w:val="004E7A4F"/>
    <w:rsid w:val="004F0763"/>
    <w:rsid w:val="004F15C6"/>
    <w:rsid w:val="004F2E85"/>
    <w:rsid w:val="00502D81"/>
    <w:rsid w:val="00510280"/>
    <w:rsid w:val="00513D73"/>
    <w:rsid w:val="00514A43"/>
    <w:rsid w:val="00516D46"/>
    <w:rsid w:val="005174E5"/>
    <w:rsid w:val="00517765"/>
    <w:rsid w:val="00522393"/>
    <w:rsid w:val="00522620"/>
    <w:rsid w:val="00525656"/>
    <w:rsid w:val="00527B67"/>
    <w:rsid w:val="00527C0B"/>
    <w:rsid w:val="00534C02"/>
    <w:rsid w:val="005370A9"/>
    <w:rsid w:val="0054264B"/>
    <w:rsid w:val="00543786"/>
    <w:rsid w:val="00543BD0"/>
    <w:rsid w:val="00543EA5"/>
    <w:rsid w:val="00545A44"/>
    <w:rsid w:val="005462E0"/>
    <w:rsid w:val="00547B7D"/>
    <w:rsid w:val="005533D7"/>
    <w:rsid w:val="00553A7D"/>
    <w:rsid w:val="00562166"/>
    <w:rsid w:val="005702D0"/>
    <w:rsid w:val="005703DE"/>
    <w:rsid w:val="00573583"/>
    <w:rsid w:val="0058111D"/>
    <w:rsid w:val="00581F51"/>
    <w:rsid w:val="0058238B"/>
    <w:rsid w:val="0058464E"/>
    <w:rsid w:val="00591B9C"/>
    <w:rsid w:val="0059375C"/>
    <w:rsid w:val="00593C58"/>
    <w:rsid w:val="005A01CB"/>
    <w:rsid w:val="005A0F3F"/>
    <w:rsid w:val="005A115F"/>
    <w:rsid w:val="005A44A3"/>
    <w:rsid w:val="005A49CE"/>
    <w:rsid w:val="005A53C6"/>
    <w:rsid w:val="005A58FF"/>
    <w:rsid w:val="005A5EAF"/>
    <w:rsid w:val="005A64C0"/>
    <w:rsid w:val="005B3C11"/>
    <w:rsid w:val="005B6E9A"/>
    <w:rsid w:val="005C1C28"/>
    <w:rsid w:val="005C3BF9"/>
    <w:rsid w:val="005C48F4"/>
    <w:rsid w:val="005C6353"/>
    <w:rsid w:val="005C6DB5"/>
    <w:rsid w:val="005D0A7F"/>
    <w:rsid w:val="005D16D5"/>
    <w:rsid w:val="005D2DBF"/>
    <w:rsid w:val="005D4589"/>
    <w:rsid w:val="005D671F"/>
    <w:rsid w:val="005E19E7"/>
    <w:rsid w:val="005E2BA3"/>
    <w:rsid w:val="005E4516"/>
    <w:rsid w:val="005F263C"/>
    <w:rsid w:val="005F7A83"/>
    <w:rsid w:val="006055BB"/>
    <w:rsid w:val="00610F38"/>
    <w:rsid w:val="0061716C"/>
    <w:rsid w:val="00617AA5"/>
    <w:rsid w:val="006243A1"/>
    <w:rsid w:val="00626C81"/>
    <w:rsid w:val="00632C19"/>
    <w:rsid w:val="00632E56"/>
    <w:rsid w:val="00635120"/>
    <w:rsid w:val="00635CBA"/>
    <w:rsid w:val="00637650"/>
    <w:rsid w:val="0064224E"/>
    <w:rsid w:val="0064338B"/>
    <w:rsid w:val="00645665"/>
    <w:rsid w:val="006456E1"/>
    <w:rsid w:val="00646542"/>
    <w:rsid w:val="006504F4"/>
    <w:rsid w:val="00654A04"/>
    <w:rsid w:val="00654BC9"/>
    <w:rsid w:val="006552FD"/>
    <w:rsid w:val="006553C6"/>
    <w:rsid w:val="006627A6"/>
    <w:rsid w:val="00662AE4"/>
    <w:rsid w:val="00663190"/>
    <w:rsid w:val="00663AF3"/>
    <w:rsid w:val="00664725"/>
    <w:rsid w:val="00664FBE"/>
    <w:rsid w:val="00665413"/>
    <w:rsid w:val="00666B6C"/>
    <w:rsid w:val="00682682"/>
    <w:rsid w:val="00682702"/>
    <w:rsid w:val="006840CA"/>
    <w:rsid w:val="0069016F"/>
    <w:rsid w:val="00692368"/>
    <w:rsid w:val="006A2EBC"/>
    <w:rsid w:val="006A5EA0"/>
    <w:rsid w:val="006A783B"/>
    <w:rsid w:val="006A7B33"/>
    <w:rsid w:val="006B4E13"/>
    <w:rsid w:val="006B75DD"/>
    <w:rsid w:val="006B765C"/>
    <w:rsid w:val="006B7F13"/>
    <w:rsid w:val="006C67E0"/>
    <w:rsid w:val="006C7ABA"/>
    <w:rsid w:val="006D0A54"/>
    <w:rsid w:val="006D0D60"/>
    <w:rsid w:val="006D1122"/>
    <w:rsid w:val="006D1387"/>
    <w:rsid w:val="006D3C00"/>
    <w:rsid w:val="006E3675"/>
    <w:rsid w:val="006E4078"/>
    <w:rsid w:val="006E4A7F"/>
    <w:rsid w:val="006E59FA"/>
    <w:rsid w:val="006E5F55"/>
    <w:rsid w:val="006F1FDD"/>
    <w:rsid w:val="006F2D24"/>
    <w:rsid w:val="007012A3"/>
    <w:rsid w:val="00704DF6"/>
    <w:rsid w:val="0070651C"/>
    <w:rsid w:val="00707085"/>
    <w:rsid w:val="007132A3"/>
    <w:rsid w:val="007157CE"/>
    <w:rsid w:val="00716421"/>
    <w:rsid w:val="00716FDB"/>
    <w:rsid w:val="00724EFB"/>
    <w:rsid w:val="0073115D"/>
    <w:rsid w:val="00735AF0"/>
    <w:rsid w:val="00735BBA"/>
    <w:rsid w:val="007419C3"/>
    <w:rsid w:val="00743984"/>
    <w:rsid w:val="007467A7"/>
    <w:rsid w:val="007469DD"/>
    <w:rsid w:val="0074741B"/>
    <w:rsid w:val="0074759E"/>
    <w:rsid w:val="007478EA"/>
    <w:rsid w:val="0075415C"/>
    <w:rsid w:val="00754836"/>
    <w:rsid w:val="00756FF6"/>
    <w:rsid w:val="007607DC"/>
    <w:rsid w:val="00763502"/>
    <w:rsid w:val="00781F00"/>
    <w:rsid w:val="00787A35"/>
    <w:rsid w:val="007913AB"/>
    <w:rsid w:val="007914F7"/>
    <w:rsid w:val="007937AD"/>
    <w:rsid w:val="007A1980"/>
    <w:rsid w:val="007A67E5"/>
    <w:rsid w:val="007B1625"/>
    <w:rsid w:val="007B33C6"/>
    <w:rsid w:val="007B706E"/>
    <w:rsid w:val="007B71EB"/>
    <w:rsid w:val="007C2C81"/>
    <w:rsid w:val="007C34AF"/>
    <w:rsid w:val="007C3DE3"/>
    <w:rsid w:val="007C42F1"/>
    <w:rsid w:val="007C5314"/>
    <w:rsid w:val="007C6205"/>
    <w:rsid w:val="007C686A"/>
    <w:rsid w:val="007C728E"/>
    <w:rsid w:val="007C75E2"/>
    <w:rsid w:val="007D0BB5"/>
    <w:rsid w:val="007D269D"/>
    <w:rsid w:val="007D29E4"/>
    <w:rsid w:val="007D2B7F"/>
    <w:rsid w:val="007D2C53"/>
    <w:rsid w:val="007D3272"/>
    <w:rsid w:val="007D3D60"/>
    <w:rsid w:val="007D7501"/>
    <w:rsid w:val="007D7F77"/>
    <w:rsid w:val="007E1980"/>
    <w:rsid w:val="007E4B76"/>
    <w:rsid w:val="007E53EF"/>
    <w:rsid w:val="007E5EA8"/>
    <w:rsid w:val="007F0CF1"/>
    <w:rsid w:val="007F12A5"/>
    <w:rsid w:val="007F2A0B"/>
    <w:rsid w:val="007F4CF1"/>
    <w:rsid w:val="007F6A82"/>
    <w:rsid w:val="007F758D"/>
    <w:rsid w:val="007F7D52"/>
    <w:rsid w:val="0080654C"/>
    <w:rsid w:val="00806EB6"/>
    <w:rsid w:val="008071C6"/>
    <w:rsid w:val="00807800"/>
    <w:rsid w:val="00817A00"/>
    <w:rsid w:val="008226D0"/>
    <w:rsid w:val="00823746"/>
    <w:rsid w:val="008241C4"/>
    <w:rsid w:val="00826E4B"/>
    <w:rsid w:val="00835DB3"/>
    <w:rsid w:val="0083617B"/>
    <w:rsid w:val="008371BD"/>
    <w:rsid w:val="00843D84"/>
    <w:rsid w:val="00847549"/>
    <w:rsid w:val="008504A8"/>
    <w:rsid w:val="00851394"/>
    <w:rsid w:val="0085282E"/>
    <w:rsid w:val="00852C72"/>
    <w:rsid w:val="00857531"/>
    <w:rsid w:val="008610DF"/>
    <w:rsid w:val="00862E87"/>
    <w:rsid w:val="008648B3"/>
    <w:rsid w:val="0087198C"/>
    <w:rsid w:val="00872C1F"/>
    <w:rsid w:val="00873B42"/>
    <w:rsid w:val="008773FC"/>
    <w:rsid w:val="008856D8"/>
    <w:rsid w:val="00885EF9"/>
    <w:rsid w:val="00892E82"/>
    <w:rsid w:val="00897D2A"/>
    <w:rsid w:val="008A5559"/>
    <w:rsid w:val="008C1B58"/>
    <w:rsid w:val="008C39AE"/>
    <w:rsid w:val="008C47A2"/>
    <w:rsid w:val="008C538D"/>
    <w:rsid w:val="008C590D"/>
    <w:rsid w:val="008C68C7"/>
    <w:rsid w:val="008C7F3E"/>
    <w:rsid w:val="008D2E1B"/>
    <w:rsid w:val="008D3447"/>
    <w:rsid w:val="008D7B3E"/>
    <w:rsid w:val="008E031B"/>
    <w:rsid w:val="008E5945"/>
    <w:rsid w:val="008E5FEB"/>
    <w:rsid w:val="008E7029"/>
    <w:rsid w:val="008E7456"/>
    <w:rsid w:val="008E7747"/>
    <w:rsid w:val="008E7EF6"/>
    <w:rsid w:val="008F0272"/>
    <w:rsid w:val="008F1F98"/>
    <w:rsid w:val="008F6758"/>
    <w:rsid w:val="008F6FF8"/>
    <w:rsid w:val="009040DD"/>
    <w:rsid w:val="00905B47"/>
    <w:rsid w:val="0091331C"/>
    <w:rsid w:val="00913C3D"/>
    <w:rsid w:val="009279DE"/>
    <w:rsid w:val="00930116"/>
    <w:rsid w:val="0093251D"/>
    <w:rsid w:val="0094212C"/>
    <w:rsid w:val="00944E7E"/>
    <w:rsid w:val="00951492"/>
    <w:rsid w:val="00954689"/>
    <w:rsid w:val="00954A17"/>
    <w:rsid w:val="00955970"/>
    <w:rsid w:val="009611FF"/>
    <w:rsid w:val="009617C9"/>
    <w:rsid w:val="00961C93"/>
    <w:rsid w:val="00965324"/>
    <w:rsid w:val="0096642B"/>
    <w:rsid w:val="00970287"/>
    <w:rsid w:val="0097091E"/>
    <w:rsid w:val="00971052"/>
    <w:rsid w:val="009760D3"/>
    <w:rsid w:val="00977132"/>
    <w:rsid w:val="00980537"/>
    <w:rsid w:val="00981A4B"/>
    <w:rsid w:val="00982501"/>
    <w:rsid w:val="009828BE"/>
    <w:rsid w:val="0098480B"/>
    <w:rsid w:val="00986064"/>
    <w:rsid w:val="009877D3"/>
    <w:rsid w:val="009878E9"/>
    <w:rsid w:val="00994E8F"/>
    <w:rsid w:val="009951DC"/>
    <w:rsid w:val="009959BB"/>
    <w:rsid w:val="00996C45"/>
    <w:rsid w:val="00997158"/>
    <w:rsid w:val="009A035C"/>
    <w:rsid w:val="009A3A7C"/>
    <w:rsid w:val="009A4491"/>
    <w:rsid w:val="009A509F"/>
    <w:rsid w:val="009B23F6"/>
    <w:rsid w:val="009B2ADB"/>
    <w:rsid w:val="009B603A"/>
    <w:rsid w:val="009B6333"/>
    <w:rsid w:val="009C2D0E"/>
    <w:rsid w:val="009C3DAC"/>
    <w:rsid w:val="009C42E0"/>
    <w:rsid w:val="009C668F"/>
    <w:rsid w:val="009C798B"/>
    <w:rsid w:val="009D1623"/>
    <w:rsid w:val="009D3F2D"/>
    <w:rsid w:val="009D5362"/>
    <w:rsid w:val="009D6579"/>
    <w:rsid w:val="009D7F03"/>
    <w:rsid w:val="009E1415"/>
    <w:rsid w:val="009E6116"/>
    <w:rsid w:val="009F2352"/>
    <w:rsid w:val="009F77D0"/>
    <w:rsid w:val="00A02E43"/>
    <w:rsid w:val="00A03658"/>
    <w:rsid w:val="00A065F9"/>
    <w:rsid w:val="00A07F34"/>
    <w:rsid w:val="00A11722"/>
    <w:rsid w:val="00A22154"/>
    <w:rsid w:val="00A2445E"/>
    <w:rsid w:val="00A249D5"/>
    <w:rsid w:val="00A25C38"/>
    <w:rsid w:val="00A26AA1"/>
    <w:rsid w:val="00A355CD"/>
    <w:rsid w:val="00A36BBE"/>
    <w:rsid w:val="00A36E6D"/>
    <w:rsid w:val="00A42A99"/>
    <w:rsid w:val="00A4307A"/>
    <w:rsid w:val="00A4629A"/>
    <w:rsid w:val="00A47EBB"/>
    <w:rsid w:val="00A51CDD"/>
    <w:rsid w:val="00A51E09"/>
    <w:rsid w:val="00A52386"/>
    <w:rsid w:val="00A538A5"/>
    <w:rsid w:val="00A54950"/>
    <w:rsid w:val="00A61DE1"/>
    <w:rsid w:val="00A656C6"/>
    <w:rsid w:val="00A66D6B"/>
    <w:rsid w:val="00A6730D"/>
    <w:rsid w:val="00A67A88"/>
    <w:rsid w:val="00A7079C"/>
    <w:rsid w:val="00A71625"/>
    <w:rsid w:val="00A71B9B"/>
    <w:rsid w:val="00A742C7"/>
    <w:rsid w:val="00A751C7"/>
    <w:rsid w:val="00A751E2"/>
    <w:rsid w:val="00A76D0D"/>
    <w:rsid w:val="00A8097F"/>
    <w:rsid w:val="00A85844"/>
    <w:rsid w:val="00A87844"/>
    <w:rsid w:val="00A901E8"/>
    <w:rsid w:val="00A91B35"/>
    <w:rsid w:val="00A93AB4"/>
    <w:rsid w:val="00AA038C"/>
    <w:rsid w:val="00AA3772"/>
    <w:rsid w:val="00AA7A09"/>
    <w:rsid w:val="00AB3B50"/>
    <w:rsid w:val="00AB4B85"/>
    <w:rsid w:val="00AC05B1"/>
    <w:rsid w:val="00AC0BDA"/>
    <w:rsid w:val="00AC54B4"/>
    <w:rsid w:val="00AC7324"/>
    <w:rsid w:val="00AC780C"/>
    <w:rsid w:val="00AC7EA5"/>
    <w:rsid w:val="00AD28CF"/>
    <w:rsid w:val="00AD2FDA"/>
    <w:rsid w:val="00AD3478"/>
    <w:rsid w:val="00AD356C"/>
    <w:rsid w:val="00AD7057"/>
    <w:rsid w:val="00AE1B44"/>
    <w:rsid w:val="00AE2914"/>
    <w:rsid w:val="00AE63F6"/>
    <w:rsid w:val="00AE6D15"/>
    <w:rsid w:val="00AF0DD2"/>
    <w:rsid w:val="00AF1DE0"/>
    <w:rsid w:val="00AF4D63"/>
    <w:rsid w:val="00B04182"/>
    <w:rsid w:val="00B04C58"/>
    <w:rsid w:val="00B07AE3"/>
    <w:rsid w:val="00B11430"/>
    <w:rsid w:val="00B12E68"/>
    <w:rsid w:val="00B151DA"/>
    <w:rsid w:val="00B15692"/>
    <w:rsid w:val="00B30B4A"/>
    <w:rsid w:val="00B353EB"/>
    <w:rsid w:val="00B3756E"/>
    <w:rsid w:val="00B41FB8"/>
    <w:rsid w:val="00B439C4"/>
    <w:rsid w:val="00B4535E"/>
    <w:rsid w:val="00B50F43"/>
    <w:rsid w:val="00B52881"/>
    <w:rsid w:val="00B52A8C"/>
    <w:rsid w:val="00B55CE3"/>
    <w:rsid w:val="00B61941"/>
    <w:rsid w:val="00B61D6E"/>
    <w:rsid w:val="00B636A8"/>
    <w:rsid w:val="00B65CD2"/>
    <w:rsid w:val="00B665C6"/>
    <w:rsid w:val="00B670C5"/>
    <w:rsid w:val="00B703B0"/>
    <w:rsid w:val="00B76669"/>
    <w:rsid w:val="00B76837"/>
    <w:rsid w:val="00B805AF"/>
    <w:rsid w:val="00B869EC"/>
    <w:rsid w:val="00B9126E"/>
    <w:rsid w:val="00B930DE"/>
    <w:rsid w:val="00B9397A"/>
    <w:rsid w:val="00B9633D"/>
    <w:rsid w:val="00BA2EBE"/>
    <w:rsid w:val="00BB0F28"/>
    <w:rsid w:val="00BB458A"/>
    <w:rsid w:val="00BB45C5"/>
    <w:rsid w:val="00BC2BC8"/>
    <w:rsid w:val="00BC4B6D"/>
    <w:rsid w:val="00BD00D3"/>
    <w:rsid w:val="00BD07B2"/>
    <w:rsid w:val="00BD1659"/>
    <w:rsid w:val="00BD2FC6"/>
    <w:rsid w:val="00BD328C"/>
    <w:rsid w:val="00BD3AA9"/>
    <w:rsid w:val="00BD4A18"/>
    <w:rsid w:val="00BD6DB2"/>
    <w:rsid w:val="00BD779F"/>
    <w:rsid w:val="00BE11CF"/>
    <w:rsid w:val="00BE21AB"/>
    <w:rsid w:val="00BE22A8"/>
    <w:rsid w:val="00BE55CB"/>
    <w:rsid w:val="00BF0941"/>
    <w:rsid w:val="00BF0D31"/>
    <w:rsid w:val="00BF1A9F"/>
    <w:rsid w:val="00BF258E"/>
    <w:rsid w:val="00BF3F74"/>
    <w:rsid w:val="00BF617A"/>
    <w:rsid w:val="00BF7FD5"/>
    <w:rsid w:val="00C0379D"/>
    <w:rsid w:val="00C03931"/>
    <w:rsid w:val="00C05FE3"/>
    <w:rsid w:val="00C07F1D"/>
    <w:rsid w:val="00C2079C"/>
    <w:rsid w:val="00C2136D"/>
    <w:rsid w:val="00C214EE"/>
    <w:rsid w:val="00C2314B"/>
    <w:rsid w:val="00C23C25"/>
    <w:rsid w:val="00C24489"/>
    <w:rsid w:val="00C24971"/>
    <w:rsid w:val="00C26BE5"/>
    <w:rsid w:val="00C26BFE"/>
    <w:rsid w:val="00C26E4D"/>
    <w:rsid w:val="00C276CB"/>
    <w:rsid w:val="00C27909"/>
    <w:rsid w:val="00C27B03"/>
    <w:rsid w:val="00C308A0"/>
    <w:rsid w:val="00C314E1"/>
    <w:rsid w:val="00C34397"/>
    <w:rsid w:val="00C379E7"/>
    <w:rsid w:val="00C37D60"/>
    <w:rsid w:val="00C400AB"/>
    <w:rsid w:val="00C4095D"/>
    <w:rsid w:val="00C40FC1"/>
    <w:rsid w:val="00C417A6"/>
    <w:rsid w:val="00C42554"/>
    <w:rsid w:val="00C4387B"/>
    <w:rsid w:val="00C601D2"/>
    <w:rsid w:val="00C65BCC"/>
    <w:rsid w:val="00C66970"/>
    <w:rsid w:val="00C734E8"/>
    <w:rsid w:val="00C73D56"/>
    <w:rsid w:val="00C749D4"/>
    <w:rsid w:val="00C74B37"/>
    <w:rsid w:val="00C8064A"/>
    <w:rsid w:val="00C8691C"/>
    <w:rsid w:val="00C86CBA"/>
    <w:rsid w:val="00C9093D"/>
    <w:rsid w:val="00C91536"/>
    <w:rsid w:val="00C943CC"/>
    <w:rsid w:val="00C968F7"/>
    <w:rsid w:val="00C97EFC"/>
    <w:rsid w:val="00CA168A"/>
    <w:rsid w:val="00CA357E"/>
    <w:rsid w:val="00CA44F9"/>
    <w:rsid w:val="00CA4A69"/>
    <w:rsid w:val="00CA4FB1"/>
    <w:rsid w:val="00CA536E"/>
    <w:rsid w:val="00CA6050"/>
    <w:rsid w:val="00CC04FF"/>
    <w:rsid w:val="00CC3E0C"/>
    <w:rsid w:val="00CC5658"/>
    <w:rsid w:val="00CC58D3"/>
    <w:rsid w:val="00CC784D"/>
    <w:rsid w:val="00CD50CF"/>
    <w:rsid w:val="00CD62A5"/>
    <w:rsid w:val="00CD6B77"/>
    <w:rsid w:val="00CE28E9"/>
    <w:rsid w:val="00CF10CA"/>
    <w:rsid w:val="00CF55DC"/>
    <w:rsid w:val="00CF7C97"/>
    <w:rsid w:val="00D0337B"/>
    <w:rsid w:val="00D0457C"/>
    <w:rsid w:val="00D04736"/>
    <w:rsid w:val="00D04BE5"/>
    <w:rsid w:val="00D04FB8"/>
    <w:rsid w:val="00D0606E"/>
    <w:rsid w:val="00D071B3"/>
    <w:rsid w:val="00D079B2"/>
    <w:rsid w:val="00D1123E"/>
    <w:rsid w:val="00D114E9"/>
    <w:rsid w:val="00D11509"/>
    <w:rsid w:val="00D141AD"/>
    <w:rsid w:val="00D26434"/>
    <w:rsid w:val="00D4265E"/>
    <w:rsid w:val="00D429C6"/>
    <w:rsid w:val="00D47365"/>
    <w:rsid w:val="00D4762D"/>
    <w:rsid w:val="00D47748"/>
    <w:rsid w:val="00D50F1F"/>
    <w:rsid w:val="00D51704"/>
    <w:rsid w:val="00D51A56"/>
    <w:rsid w:val="00D521FF"/>
    <w:rsid w:val="00D537C0"/>
    <w:rsid w:val="00D54CC3"/>
    <w:rsid w:val="00D57E6D"/>
    <w:rsid w:val="00D6041A"/>
    <w:rsid w:val="00D633EB"/>
    <w:rsid w:val="00D63678"/>
    <w:rsid w:val="00D67120"/>
    <w:rsid w:val="00D70DFC"/>
    <w:rsid w:val="00D711E1"/>
    <w:rsid w:val="00D72F35"/>
    <w:rsid w:val="00D74ACD"/>
    <w:rsid w:val="00D74BC9"/>
    <w:rsid w:val="00D75E1B"/>
    <w:rsid w:val="00D82FF7"/>
    <w:rsid w:val="00D830CF"/>
    <w:rsid w:val="00D8384E"/>
    <w:rsid w:val="00D847FE"/>
    <w:rsid w:val="00D902DB"/>
    <w:rsid w:val="00D919D4"/>
    <w:rsid w:val="00D94F29"/>
    <w:rsid w:val="00D95867"/>
    <w:rsid w:val="00D961FE"/>
    <w:rsid w:val="00D964EA"/>
    <w:rsid w:val="00D966D0"/>
    <w:rsid w:val="00DA0C59"/>
    <w:rsid w:val="00DA2B8A"/>
    <w:rsid w:val="00DA3991"/>
    <w:rsid w:val="00DA62C4"/>
    <w:rsid w:val="00DB2E19"/>
    <w:rsid w:val="00DB525C"/>
    <w:rsid w:val="00DB7210"/>
    <w:rsid w:val="00DB7E6C"/>
    <w:rsid w:val="00DC1E0B"/>
    <w:rsid w:val="00DC4FBF"/>
    <w:rsid w:val="00DD2B2A"/>
    <w:rsid w:val="00DD5A29"/>
    <w:rsid w:val="00DD5D9D"/>
    <w:rsid w:val="00DE02F3"/>
    <w:rsid w:val="00DE0A93"/>
    <w:rsid w:val="00DE2B3A"/>
    <w:rsid w:val="00DE35CB"/>
    <w:rsid w:val="00DF1946"/>
    <w:rsid w:val="00DF21E9"/>
    <w:rsid w:val="00DF4294"/>
    <w:rsid w:val="00E00F14"/>
    <w:rsid w:val="00E021BD"/>
    <w:rsid w:val="00E031A4"/>
    <w:rsid w:val="00E06386"/>
    <w:rsid w:val="00E07661"/>
    <w:rsid w:val="00E1631F"/>
    <w:rsid w:val="00E24A43"/>
    <w:rsid w:val="00E24EB4"/>
    <w:rsid w:val="00E320ED"/>
    <w:rsid w:val="00E33AFB"/>
    <w:rsid w:val="00E34218"/>
    <w:rsid w:val="00E37D6C"/>
    <w:rsid w:val="00E429FF"/>
    <w:rsid w:val="00E46282"/>
    <w:rsid w:val="00E46FE4"/>
    <w:rsid w:val="00E5216E"/>
    <w:rsid w:val="00E52780"/>
    <w:rsid w:val="00E52FE4"/>
    <w:rsid w:val="00E55C53"/>
    <w:rsid w:val="00E611FE"/>
    <w:rsid w:val="00E642D1"/>
    <w:rsid w:val="00E64F89"/>
    <w:rsid w:val="00E71887"/>
    <w:rsid w:val="00E761D2"/>
    <w:rsid w:val="00E82344"/>
    <w:rsid w:val="00E82A12"/>
    <w:rsid w:val="00E84C82"/>
    <w:rsid w:val="00E84D64"/>
    <w:rsid w:val="00E85A65"/>
    <w:rsid w:val="00E87408"/>
    <w:rsid w:val="00E914C4"/>
    <w:rsid w:val="00E934F5"/>
    <w:rsid w:val="00E93699"/>
    <w:rsid w:val="00E96961"/>
    <w:rsid w:val="00EA0C1D"/>
    <w:rsid w:val="00EA72EC"/>
    <w:rsid w:val="00EB026F"/>
    <w:rsid w:val="00EB11CB"/>
    <w:rsid w:val="00EB275A"/>
    <w:rsid w:val="00EB34A2"/>
    <w:rsid w:val="00EB51C9"/>
    <w:rsid w:val="00EB7743"/>
    <w:rsid w:val="00EB786A"/>
    <w:rsid w:val="00EC146E"/>
    <w:rsid w:val="00EC1578"/>
    <w:rsid w:val="00EC1C72"/>
    <w:rsid w:val="00EC3CC9"/>
    <w:rsid w:val="00EC409B"/>
    <w:rsid w:val="00EC680A"/>
    <w:rsid w:val="00ED02BD"/>
    <w:rsid w:val="00ED6AFA"/>
    <w:rsid w:val="00ED7175"/>
    <w:rsid w:val="00EE2BED"/>
    <w:rsid w:val="00EE374B"/>
    <w:rsid w:val="00EF0F57"/>
    <w:rsid w:val="00EF284A"/>
    <w:rsid w:val="00EF4AD6"/>
    <w:rsid w:val="00EF6983"/>
    <w:rsid w:val="00F0225F"/>
    <w:rsid w:val="00F11225"/>
    <w:rsid w:val="00F11BB5"/>
    <w:rsid w:val="00F1417B"/>
    <w:rsid w:val="00F14F25"/>
    <w:rsid w:val="00F1505E"/>
    <w:rsid w:val="00F15A6D"/>
    <w:rsid w:val="00F30011"/>
    <w:rsid w:val="00F30F1B"/>
    <w:rsid w:val="00F34B99"/>
    <w:rsid w:val="00F40F1B"/>
    <w:rsid w:val="00F439A0"/>
    <w:rsid w:val="00F46472"/>
    <w:rsid w:val="00F52DAB"/>
    <w:rsid w:val="00F539C3"/>
    <w:rsid w:val="00F53AD0"/>
    <w:rsid w:val="00F541F5"/>
    <w:rsid w:val="00F543F0"/>
    <w:rsid w:val="00F61375"/>
    <w:rsid w:val="00F618B7"/>
    <w:rsid w:val="00F707F7"/>
    <w:rsid w:val="00F74380"/>
    <w:rsid w:val="00F744B2"/>
    <w:rsid w:val="00F7543F"/>
    <w:rsid w:val="00F81B57"/>
    <w:rsid w:val="00F81D29"/>
    <w:rsid w:val="00F81EC3"/>
    <w:rsid w:val="00F81EEA"/>
    <w:rsid w:val="00F860DD"/>
    <w:rsid w:val="00F905C8"/>
    <w:rsid w:val="00F91C4D"/>
    <w:rsid w:val="00F92269"/>
    <w:rsid w:val="00F92FD9"/>
    <w:rsid w:val="00F93C9A"/>
    <w:rsid w:val="00F94C04"/>
    <w:rsid w:val="00F94EA9"/>
    <w:rsid w:val="00FA0A90"/>
    <w:rsid w:val="00FA6684"/>
    <w:rsid w:val="00FA731E"/>
    <w:rsid w:val="00FB07F2"/>
    <w:rsid w:val="00FB2B38"/>
    <w:rsid w:val="00FC2777"/>
    <w:rsid w:val="00FC3F4F"/>
    <w:rsid w:val="00FC5906"/>
    <w:rsid w:val="00FC6165"/>
    <w:rsid w:val="00FC6358"/>
    <w:rsid w:val="00FC7CC0"/>
    <w:rsid w:val="00FD320D"/>
    <w:rsid w:val="00FD5ADD"/>
    <w:rsid w:val="00FD6A8F"/>
    <w:rsid w:val="00FE23DE"/>
    <w:rsid w:val="00FF2032"/>
    <w:rsid w:val="00FF4AFD"/>
    <w:rsid w:val="00FF51EC"/>
    <w:rsid w:val="01A377A8"/>
    <w:rsid w:val="01B326C6"/>
    <w:rsid w:val="07F56943"/>
    <w:rsid w:val="08483B63"/>
    <w:rsid w:val="08C5394F"/>
    <w:rsid w:val="0B250323"/>
    <w:rsid w:val="0DAF332E"/>
    <w:rsid w:val="0E515D90"/>
    <w:rsid w:val="0EAC188A"/>
    <w:rsid w:val="12226777"/>
    <w:rsid w:val="13FD6D04"/>
    <w:rsid w:val="14A35CE8"/>
    <w:rsid w:val="170D57EA"/>
    <w:rsid w:val="17990D42"/>
    <w:rsid w:val="17A803F9"/>
    <w:rsid w:val="17C1746A"/>
    <w:rsid w:val="17FA0189"/>
    <w:rsid w:val="189C4BC2"/>
    <w:rsid w:val="18E4064C"/>
    <w:rsid w:val="19350A55"/>
    <w:rsid w:val="1D5A7348"/>
    <w:rsid w:val="1D6F72B3"/>
    <w:rsid w:val="1E13065E"/>
    <w:rsid w:val="1F571008"/>
    <w:rsid w:val="1F9F1CA9"/>
    <w:rsid w:val="20340249"/>
    <w:rsid w:val="2085223B"/>
    <w:rsid w:val="20AE3DF0"/>
    <w:rsid w:val="21E55C80"/>
    <w:rsid w:val="229249BD"/>
    <w:rsid w:val="22CE5998"/>
    <w:rsid w:val="248C7503"/>
    <w:rsid w:val="24CB1E3A"/>
    <w:rsid w:val="25845C69"/>
    <w:rsid w:val="288E0E9B"/>
    <w:rsid w:val="2A193D21"/>
    <w:rsid w:val="2AD44455"/>
    <w:rsid w:val="2B117170"/>
    <w:rsid w:val="2B37307A"/>
    <w:rsid w:val="2B5272A1"/>
    <w:rsid w:val="2C151C68"/>
    <w:rsid w:val="2DA77776"/>
    <w:rsid w:val="2E1F02E3"/>
    <w:rsid w:val="2E1F2A87"/>
    <w:rsid w:val="2E261066"/>
    <w:rsid w:val="2EBE5024"/>
    <w:rsid w:val="2F5A420D"/>
    <w:rsid w:val="2F6C2559"/>
    <w:rsid w:val="30360FA6"/>
    <w:rsid w:val="318C2A3B"/>
    <w:rsid w:val="31CA4A01"/>
    <w:rsid w:val="31DB0172"/>
    <w:rsid w:val="32AA076E"/>
    <w:rsid w:val="33863C3A"/>
    <w:rsid w:val="34D57217"/>
    <w:rsid w:val="34F934F5"/>
    <w:rsid w:val="3595133A"/>
    <w:rsid w:val="35E80B65"/>
    <w:rsid w:val="35ED6261"/>
    <w:rsid w:val="36442503"/>
    <w:rsid w:val="36CB3FAC"/>
    <w:rsid w:val="38DC257F"/>
    <w:rsid w:val="39017813"/>
    <w:rsid w:val="39831A53"/>
    <w:rsid w:val="3ABC496A"/>
    <w:rsid w:val="3D5339AC"/>
    <w:rsid w:val="3E2B7D46"/>
    <w:rsid w:val="3F443AD2"/>
    <w:rsid w:val="3FFD2EEB"/>
    <w:rsid w:val="40FA73BE"/>
    <w:rsid w:val="41A642D3"/>
    <w:rsid w:val="427816DC"/>
    <w:rsid w:val="431F6F15"/>
    <w:rsid w:val="43BC2A4B"/>
    <w:rsid w:val="44352E99"/>
    <w:rsid w:val="455D6413"/>
    <w:rsid w:val="45CD5E44"/>
    <w:rsid w:val="47025D93"/>
    <w:rsid w:val="48877415"/>
    <w:rsid w:val="493947E5"/>
    <w:rsid w:val="4A153800"/>
    <w:rsid w:val="4B7616CB"/>
    <w:rsid w:val="4C276EFC"/>
    <w:rsid w:val="4C4469E0"/>
    <w:rsid w:val="4EAF1811"/>
    <w:rsid w:val="4F8777B9"/>
    <w:rsid w:val="50446E96"/>
    <w:rsid w:val="518F3B90"/>
    <w:rsid w:val="531B62D2"/>
    <w:rsid w:val="537479E1"/>
    <w:rsid w:val="54140A0D"/>
    <w:rsid w:val="54DD7230"/>
    <w:rsid w:val="55A2658D"/>
    <w:rsid w:val="56642DC8"/>
    <w:rsid w:val="56787471"/>
    <w:rsid w:val="56CB5680"/>
    <w:rsid w:val="571D33CA"/>
    <w:rsid w:val="574207CF"/>
    <w:rsid w:val="58B606D2"/>
    <w:rsid w:val="59616CF1"/>
    <w:rsid w:val="5A183CAF"/>
    <w:rsid w:val="5B984A80"/>
    <w:rsid w:val="5BB8329B"/>
    <w:rsid w:val="5BC87808"/>
    <w:rsid w:val="5BD31F2C"/>
    <w:rsid w:val="5D092E77"/>
    <w:rsid w:val="5DE04894"/>
    <w:rsid w:val="60406335"/>
    <w:rsid w:val="60B175BF"/>
    <w:rsid w:val="60B552B6"/>
    <w:rsid w:val="61614A52"/>
    <w:rsid w:val="62B15989"/>
    <w:rsid w:val="631F16A9"/>
    <w:rsid w:val="6659035A"/>
    <w:rsid w:val="677A7351"/>
    <w:rsid w:val="68CD3F62"/>
    <w:rsid w:val="6967357B"/>
    <w:rsid w:val="6C381191"/>
    <w:rsid w:val="6C710F75"/>
    <w:rsid w:val="6CB06B7A"/>
    <w:rsid w:val="6D8D5363"/>
    <w:rsid w:val="6D960A16"/>
    <w:rsid w:val="6DC321BA"/>
    <w:rsid w:val="6E696B31"/>
    <w:rsid w:val="6EB85650"/>
    <w:rsid w:val="717A541D"/>
    <w:rsid w:val="71B135C9"/>
    <w:rsid w:val="76314730"/>
    <w:rsid w:val="77A45FD4"/>
    <w:rsid w:val="77B84F8C"/>
    <w:rsid w:val="782050F7"/>
    <w:rsid w:val="787A4C52"/>
    <w:rsid w:val="7A22099D"/>
    <w:rsid w:val="7C397E67"/>
    <w:rsid w:val="7C410FAC"/>
    <w:rsid w:val="7DD7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b/>
      <w:bCs/>
      <w:kern w:val="0"/>
      <w:sz w:val="27"/>
      <w:szCs w:val="27"/>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0"/>
    <w:pPr>
      <w:tabs>
        <w:tab w:val="right" w:leader="dot" w:pos="9241"/>
      </w:tabs>
      <w:ind w:firstLine="500"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qFormat/>
    <w:uiPriority w:val="39"/>
    <w:pPr>
      <w:tabs>
        <w:tab w:val="right" w:leader="dot" w:pos="9241"/>
      </w:tabs>
      <w:ind w:firstLine="100" w:firstLineChars="1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Date"/>
    <w:basedOn w:val="1"/>
    <w:next w:val="1"/>
    <w:link w:val="41"/>
    <w:qFormat/>
    <w:uiPriority w:val="0"/>
    <w:pPr>
      <w:ind w:left="100" w:leftChars="2500"/>
    </w:pPr>
  </w:style>
  <w:style w:type="paragraph" w:styleId="16">
    <w:name w:val="endnote text"/>
    <w:basedOn w:val="1"/>
    <w:semiHidden/>
    <w:qFormat/>
    <w:uiPriority w:val="0"/>
    <w:pPr>
      <w:snapToGrid w:val="0"/>
      <w:jc w:val="left"/>
    </w:pPr>
  </w:style>
  <w:style w:type="paragraph" w:styleId="17">
    <w:name w:val="footer"/>
    <w:basedOn w:val="1"/>
    <w:link w:val="42"/>
    <w:qFormat/>
    <w:uiPriority w:val="99"/>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qFormat/>
    <w:uiPriority w:val="39"/>
    <w:pPr>
      <w:tabs>
        <w:tab w:val="right" w:leader="dot" w:pos="9242"/>
      </w:tabs>
      <w:spacing w:before="25" w:beforeLines="25" w:after="25" w:afterLines="25"/>
      <w:jc w:val="left"/>
    </w:pPr>
    <w:rPr>
      <w:rFonts w:ascii="宋体"/>
      <w:szCs w:val="21"/>
    </w:rPr>
  </w:style>
  <w:style w:type="paragraph" w:styleId="20">
    <w:name w:val="toc 4"/>
    <w:basedOn w:val="1"/>
    <w:next w:val="1"/>
    <w:semiHidden/>
    <w:qFormat/>
    <w:uiPriority w:val="0"/>
    <w:pPr>
      <w:tabs>
        <w:tab w:val="right" w:leader="dot" w:pos="9241"/>
      </w:tabs>
      <w:ind w:firstLine="200"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0"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qFormat/>
    <w:uiPriority w:val="39"/>
    <w:pPr>
      <w:tabs>
        <w:tab w:val="right" w:leader="dot" w:pos="9242"/>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qFormat/>
    <w:uiPriority w:val="0"/>
    <w:rPr>
      <w:b/>
    </w:rPr>
  </w:style>
  <w:style w:type="character" w:styleId="35">
    <w:name w:val="endnote reference"/>
    <w:semiHidden/>
    <w:qFormat/>
    <w:uiPriority w:val="0"/>
    <w:rPr>
      <w:vertAlign w:val="superscript"/>
    </w:rPr>
  </w:style>
  <w:style w:type="character" w:styleId="36">
    <w:name w:val="page number"/>
    <w:qFormat/>
    <w:uiPriority w:val="0"/>
    <w:rPr>
      <w:rFonts w:ascii="Times New Roman" w:hAnsi="Times New Roman" w:eastAsia="宋体"/>
      <w:sz w:val="18"/>
    </w:rPr>
  </w:style>
  <w:style w:type="character" w:styleId="37">
    <w:name w:val="FollowedHyperlink"/>
    <w:qFormat/>
    <w:uiPriority w:val="0"/>
    <w:rPr>
      <w:color w:val="800080"/>
      <w:u w:val="single"/>
    </w:rPr>
  </w:style>
  <w:style w:type="character" w:styleId="38">
    <w:name w:val="Hyperlink"/>
    <w:qFormat/>
    <w:uiPriority w:val="99"/>
    <w:rPr>
      <w:color w:val="0000FF"/>
      <w:spacing w:val="0"/>
      <w:w w:val="100"/>
      <w:szCs w:val="21"/>
      <w:u w:val="single"/>
    </w:rPr>
  </w:style>
  <w:style w:type="character" w:styleId="39">
    <w:name w:val="footnote reference"/>
    <w:semiHidden/>
    <w:qFormat/>
    <w:uiPriority w:val="0"/>
    <w:rPr>
      <w:vertAlign w:val="superscript"/>
    </w:rPr>
  </w:style>
  <w:style w:type="character" w:customStyle="1" w:styleId="40">
    <w:name w:val="标题 1 Char"/>
    <w:link w:val="2"/>
    <w:qFormat/>
    <w:uiPriority w:val="9"/>
    <w:rPr>
      <w:rFonts w:ascii="宋体" w:hAnsi="宋体" w:cs="宋体"/>
      <w:b/>
      <w:bCs/>
      <w:kern w:val="36"/>
      <w:sz w:val="48"/>
      <w:szCs w:val="48"/>
    </w:rPr>
  </w:style>
  <w:style w:type="character" w:customStyle="1" w:styleId="41">
    <w:name w:val="日期 Char"/>
    <w:link w:val="15"/>
    <w:qFormat/>
    <w:uiPriority w:val="0"/>
    <w:rPr>
      <w:kern w:val="2"/>
      <w:sz w:val="21"/>
      <w:szCs w:val="24"/>
    </w:rPr>
  </w:style>
  <w:style w:type="character" w:customStyle="1" w:styleId="42">
    <w:name w:val="页脚 Char"/>
    <w:link w:val="17"/>
    <w:qFormat/>
    <w:uiPriority w:val="99"/>
    <w:rPr>
      <w:kern w:val="2"/>
      <w:sz w:val="18"/>
      <w:szCs w:val="18"/>
    </w:rPr>
  </w:style>
  <w:style w:type="character" w:customStyle="1" w:styleId="43">
    <w:name w:val="段 Char"/>
    <w:link w:val="23"/>
    <w:qFormat/>
    <w:uiPriority w:val="0"/>
    <w:rPr>
      <w:rFonts w:ascii="宋体"/>
      <w:sz w:val="21"/>
      <w:lang w:val="en-US" w:eastAsia="zh-CN" w:bidi="ar-SA"/>
    </w:rPr>
  </w:style>
  <w:style w:type="character" w:customStyle="1" w:styleId="44">
    <w:name w:val="首示例 Char"/>
    <w:link w:val="45"/>
    <w:qFormat/>
    <w:uiPriority w:val="0"/>
    <w:rPr>
      <w:rFonts w:ascii="宋体" w:hAnsi="宋体"/>
      <w:kern w:val="2"/>
      <w:sz w:val="18"/>
      <w:szCs w:val="18"/>
      <w:lang w:val="en-US" w:eastAsia="zh-CN" w:bidi="ar-SA"/>
    </w:rPr>
  </w:style>
  <w:style w:type="paragraph" w:customStyle="1" w:styleId="45">
    <w:name w:val="首示例"/>
    <w:next w:val="23"/>
    <w:link w:val="44"/>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46">
    <w:name w:val="发布"/>
    <w:qFormat/>
    <w:uiPriority w:val="0"/>
    <w:rPr>
      <w:rFonts w:ascii="黑体" w:eastAsia="黑体"/>
      <w:spacing w:val="85"/>
      <w:w w:val="100"/>
      <w:position w:val="3"/>
      <w:sz w:val="28"/>
      <w:szCs w:val="28"/>
    </w:rPr>
  </w:style>
  <w:style w:type="character" w:customStyle="1" w:styleId="47">
    <w:name w:val="附录公式 Char"/>
    <w:basedOn w:val="43"/>
    <w:link w:val="48"/>
    <w:qFormat/>
    <w:uiPriority w:val="0"/>
    <w:rPr>
      <w:rFonts w:ascii="宋体"/>
      <w:sz w:val="21"/>
      <w:lang w:val="en-US" w:eastAsia="zh-CN" w:bidi="ar-SA"/>
    </w:rPr>
  </w:style>
  <w:style w:type="paragraph" w:customStyle="1" w:styleId="48">
    <w:name w:val="附录公式"/>
    <w:basedOn w:val="23"/>
    <w:next w:val="23"/>
    <w:link w:val="47"/>
    <w:qFormat/>
    <w:uiPriority w:val="0"/>
  </w:style>
  <w:style w:type="paragraph" w:customStyle="1" w:styleId="49">
    <w:name w:val="其他实施日期"/>
    <w:basedOn w:val="50"/>
    <w:qFormat/>
    <w:uiPriority w:val="0"/>
    <w:pPr>
      <w:framePr w:wrap="around"/>
    </w:pPr>
  </w:style>
  <w:style w:type="paragraph" w:customStyle="1" w:styleId="50">
    <w:name w:val="实施日期"/>
    <w:basedOn w:val="51"/>
    <w:qFormat/>
    <w:uiPriority w:val="0"/>
    <w:pPr>
      <w:framePr w:wrap="around" w:vAnchor="page" w:hAnchor="text"/>
      <w:jc w:val="right"/>
    </w:pPr>
  </w:style>
  <w:style w:type="paragraph" w:customStyle="1" w:styleId="5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2">
    <w:name w:val="附录三级条标题"/>
    <w:basedOn w:val="53"/>
    <w:next w:val="23"/>
    <w:qFormat/>
    <w:uiPriority w:val="0"/>
    <w:pPr>
      <w:numPr>
        <w:ilvl w:val="4"/>
      </w:numPr>
      <w:tabs>
        <w:tab w:val="left" w:pos="360"/>
      </w:tabs>
      <w:outlineLvl w:val="4"/>
    </w:pPr>
  </w:style>
  <w:style w:type="paragraph" w:customStyle="1" w:styleId="53">
    <w:name w:val="附录二级条标题"/>
    <w:basedOn w:val="1"/>
    <w:next w:val="23"/>
    <w:qFormat/>
    <w:uiPriority w:val="0"/>
    <w:pPr>
      <w:widowControl/>
      <w:numPr>
        <w:ilvl w:val="3"/>
        <w:numId w:val="3"/>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54">
    <w:name w:val="附录图标号"/>
    <w:basedOn w:val="1"/>
    <w:qFormat/>
    <w:uiPriority w:val="0"/>
    <w:pPr>
      <w:keepNext/>
      <w:pageBreakBefore/>
      <w:widowControl/>
      <w:numPr>
        <w:ilvl w:val="0"/>
        <w:numId w:val="4"/>
      </w:numPr>
      <w:spacing w:line="14" w:lineRule="exact"/>
      <w:ind w:left="0" w:firstLine="363"/>
      <w:jc w:val="center"/>
      <w:outlineLvl w:val="0"/>
    </w:pPr>
    <w:rPr>
      <w:color w:val="FFFFFF"/>
    </w:rPr>
  </w:style>
  <w:style w:type="paragraph" w:customStyle="1" w:styleId="5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56">
    <w:name w:val="注："/>
    <w:next w:val="23"/>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57">
    <w:name w:val="附录四级条标题"/>
    <w:basedOn w:val="52"/>
    <w:next w:val="23"/>
    <w:qFormat/>
    <w:uiPriority w:val="0"/>
    <w:pPr>
      <w:numPr>
        <w:ilvl w:val="5"/>
      </w:numPr>
      <w:outlineLvl w:val="5"/>
    </w:pPr>
  </w:style>
  <w:style w:type="paragraph" w:customStyle="1" w:styleId="5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59">
    <w:name w:val="示例×："/>
    <w:basedOn w:val="60"/>
    <w:qFormat/>
    <w:uiPriority w:val="0"/>
    <w:pPr>
      <w:numPr>
        <w:ilvl w:val="0"/>
        <w:numId w:val="6"/>
      </w:numPr>
      <w:spacing w:before="0" w:beforeLines="0" w:after="0" w:afterLines="0"/>
      <w:outlineLvl w:val="9"/>
    </w:pPr>
    <w:rPr>
      <w:rFonts w:ascii="宋体" w:eastAsia="宋体"/>
      <w:sz w:val="18"/>
      <w:szCs w:val="18"/>
    </w:rPr>
  </w:style>
  <w:style w:type="paragraph" w:customStyle="1" w:styleId="60">
    <w:name w:val="章标题"/>
    <w:next w:val="23"/>
    <w:qFormat/>
    <w:uiPriority w:val="0"/>
    <w:pPr>
      <w:numPr>
        <w:ilvl w:val="0"/>
        <w:numId w:val="7"/>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61">
    <w:name w:val="示例"/>
    <w:next w:val="62"/>
    <w:qFormat/>
    <w:uiPriority w:val="0"/>
    <w:pPr>
      <w:widowControl w:val="0"/>
      <w:numPr>
        <w:ilvl w:val="0"/>
        <w:numId w:val="8"/>
      </w:numPr>
      <w:jc w:val="both"/>
    </w:pPr>
    <w:rPr>
      <w:rFonts w:ascii="宋体" w:hAnsi="Times New Roman" w:eastAsia="宋体" w:cs="Times New Roman"/>
      <w:sz w:val="18"/>
      <w:szCs w:val="18"/>
      <w:lang w:val="en-US" w:eastAsia="zh-CN" w:bidi="ar-SA"/>
    </w:rPr>
  </w:style>
  <w:style w:type="paragraph" w:customStyle="1" w:styleId="6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3">
    <w:name w:val="二级条标题"/>
    <w:basedOn w:val="64"/>
    <w:next w:val="23"/>
    <w:qFormat/>
    <w:uiPriority w:val="0"/>
    <w:pPr>
      <w:numPr>
        <w:ilvl w:val="2"/>
      </w:numPr>
      <w:spacing w:before="50" w:after="50"/>
      <w:outlineLvl w:val="3"/>
    </w:pPr>
  </w:style>
  <w:style w:type="paragraph" w:customStyle="1" w:styleId="64">
    <w:name w:val="一级条标题"/>
    <w:next w:val="23"/>
    <w:qFormat/>
    <w:uiPriority w:val="0"/>
    <w:pPr>
      <w:numPr>
        <w:ilvl w:val="1"/>
        <w:numId w:val="9"/>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65">
    <w:name w:val="附录章标题"/>
    <w:next w:val="23"/>
    <w:qFormat/>
    <w:uiPriority w:val="0"/>
    <w:pPr>
      <w:numPr>
        <w:ilvl w:val="1"/>
        <w:numId w:val="3"/>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66">
    <w:name w:val="注：（正文）"/>
    <w:basedOn w:val="56"/>
    <w:next w:val="23"/>
    <w:qFormat/>
    <w:uiPriority w:val="0"/>
  </w:style>
  <w:style w:type="paragraph" w:customStyle="1" w:styleId="67">
    <w:name w:val="标准书眉_偶数页"/>
    <w:basedOn w:val="68"/>
    <w:next w:val="1"/>
    <w:qFormat/>
    <w:uiPriority w:val="0"/>
    <w:pPr>
      <w:tabs>
        <w:tab w:val="center" w:pos="4154"/>
        <w:tab w:val="right" w:pos="8306"/>
      </w:tabs>
      <w:jc w:val="left"/>
    </w:pPr>
  </w:style>
  <w:style w:type="paragraph" w:customStyle="1" w:styleId="6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9">
    <w:name w:val="附录五级条标题"/>
    <w:basedOn w:val="57"/>
    <w:next w:val="23"/>
    <w:qFormat/>
    <w:uiPriority w:val="0"/>
    <w:pPr>
      <w:numPr>
        <w:ilvl w:val="6"/>
      </w:numPr>
      <w:outlineLvl w:val="6"/>
    </w:pPr>
  </w:style>
  <w:style w:type="paragraph" w:customStyle="1" w:styleId="70">
    <w:name w:val="数字编号列项（二级）"/>
    <w:qFormat/>
    <w:uiPriority w:val="0"/>
    <w:pPr>
      <w:numPr>
        <w:ilvl w:val="1"/>
        <w:numId w:val="10"/>
      </w:numPr>
      <w:jc w:val="both"/>
    </w:pPr>
    <w:rPr>
      <w:rFonts w:ascii="宋体" w:hAnsi="Times New Roman" w:eastAsia="宋体" w:cs="Times New Roman"/>
      <w:sz w:val="21"/>
      <w:lang w:val="en-US" w:eastAsia="zh-CN" w:bidi="ar-SA"/>
    </w:rPr>
  </w:style>
  <w:style w:type="paragraph" w:customStyle="1" w:styleId="7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2">
    <w:name w:val="附录二级无"/>
    <w:basedOn w:val="53"/>
    <w:qFormat/>
    <w:uiPriority w:val="0"/>
    <w:pPr>
      <w:tabs>
        <w:tab w:val="clear" w:pos="360"/>
      </w:tabs>
      <w:spacing w:before="0" w:beforeLines="0" w:after="0" w:afterLines="0"/>
    </w:pPr>
    <w:rPr>
      <w:rFonts w:ascii="宋体" w:eastAsia="宋体"/>
      <w:szCs w:val="21"/>
    </w:rPr>
  </w:style>
  <w:style w:type="paragraph" w:customStyle="1" w:styleId="73">
    <w:name w:val="附录数字编号列项（二级）"/>
    <w:qFormat/>
    <w:uiPriority w:val="0"/>
    <w:pPr>
      <w:numPr>
        <w:ilvl w:val="1"/>
        <w:numId w:val="11"/>
      </w:numPr>
    </w:pPr>
    <w:rPr>
      <w:rFonts w:ascii="宋体" w:hAnsi="Times New Roman" w:eastAsia="宋体" w:cs="Times New Roman"/>
      <w:sz w:val="21"/>
      <w:lang w:val="en-US" w:eastAsia="zh-CN" w:bidi="ar-SA"/>
    </w:rPr>
  </w:style>
  <w:style w:type="paragraph" w:customStyle="1" w:styleId="74">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三级条标题"/>
    <w:basedOn w:val="63"/>
    <w:next w:val="23"/>
    <w:qFormat/>
    <w:uiPriority w:val="0"/>
    <w:pPr>
      <w:numPr>
        <w:ilvl w:val="3"/>
      </w:numPr>
      <w:outlineLvl w:val="4"/>
    </w:pPr>
  </w:style>
  <w:style w:type="paragraph" w:customStyle="1" w:styleId="76">
    <w:name w:val="五级条标题"/>
    <w:basedOn w:val="77"/>
    <w:next w:val="23"/>
    <w:qFormat/>
    <w:uiPriority w:val="0"/>
    <w:pPr>
      <w:numPr>
        <w:ilvl w:val="5"/>
      </w:numPr>
      <w:outlineLvl w:val="6"/>
    </w:pPr>
  </w:style>
  <w:style w:type="paragraph" w:customStyle="1" w:styleId="77">
    <w:name w:val="四级条标题"/>
    <w:basedOn w:val="75"/>
    <w:next w:val="23"/>
    <w:qFormat/>
    <w:uiPriority w:val="0"/>
    <w:pPr>
      <w:numPr>
        <w:ilvl w:val="4"/>
      </w:numPr>
      <w:outlineLvl w:val="5"/>
    </w:pPr>
  </w:style>
  <w:style w:type="paragraph" w:customStyle="1" w:styleId="7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9">
    <w:name w:val="附录三级无"/>
    <w:basedOn w:val="52"/>
    <w:qFormat/>
    <w:uiPriority w:val="0"/>
    <w:pPr>
      <w:tabs>
        <w:tab w:val="clear" w:pos="360"/>
      </w:tabs>
      <w:spacing w:before="0" w:beforeLines="0" w:after="0" w:afterLines="0"/>
    </w:pPr>
    <w:rPr>
      <w:rFonts w:ascii="宋体" w:eastAsia="宋体"/>
      <w:szCs w:val="21"/>
    </w:rPr>
  </w:style>
  <w:style w:type="paragraph" w:customStyle="1" w:styleId="80">
    <w:name w:val="正文表标题"/>
    <w:next w:val="23"/>
    <w:qFormat/>
    <w:uiPriority w:val="0"/>
    <w:pPr>
      <w:numPr>
        <w:ilvl w:val="0"/>
        <w:numId w:val="1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8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2">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83">
    <w:name w:val="图标脚注说明"/>
    <w:basedOn w:val="23"/>
    <w:qFormat/>
    <w:uiPriority w:val="0"/>
    <w:pPr>
      <w:ind w:left="840" w:hanging="420" w:firstLineChars="0"/>
    </w:pPr>
    <w:rPr>
      <w:sz w:val="18"/>
      <w:szCs w:val="18"/>
    </w:rPr>
  </w:style>
  <w:style w:type="paragraph" w:customStyle="1" w:styleId="84">
    <w:name w:val="封面一致性程度标识"/>
    <w:basedOn w:val="85"/>
    <w:qFormat/>
    <w:uiPriority w:val="0"/>
    <w:pPr>
      <w:framePr w:wrap="around"/>
      <w:spacing w:before="440"/>
    </w:pPr>
    <w:rPr>
      <w:rFonts w:ascii="宋体" w:eastAsia="宋体"/>
    </w:rPr>
  </w:style>
  <w:style w:type="paragraph" w:customStyle="1" w:styleId="85">
    <w:name w:val="封面标准英文名称"/>
    <w:basedOn w:val="71"/>
    <w:qFormat/>
    <w:uiPriority w:val="0"/>
    <w:pPr>
      <w:framePr w:wrap="around"/>
      <w:spacing w:before="370" w:line="400" w:lineRule="exact"/>
    </w:pPr>
    <w:rPr>
      <w:rFonts w:ascii="Times New Roman"/>
      <w:sz w:val="28"/>
      <w:szCs w:val="28"/>
    </w:rPr>
  </w:style>
  <w:style w:type="paragraph" w:customStyle="1" w:styleId="86">
    <w:name w:val="字母编号列项（一级）"/>
    <w:qFormat/>
    <w:uiPriority w:val="0"/>
    <w:pPr>
      <w:numPr>
        <w:ilvl w:val="0"/>
        <w:numId w:val="10"/>
      </w:numPr>
      <w:jc w:val="both"/>
    </w:pPr>
    <w:rPr>
      <w:rFonts w:ascii="宋体" w:hAnsi="Times New Roman" w:eastAsia="宋体" w:cs="Times New Roman"/>
      <w:sz w:val="21"/>
      <w:lang w:val="en-US" w:eastAsia="zh-CN" w:bidi="ar-SA"/>
    </w:rPr>
  </w:style>
  <w:style w:type="paragraph" w:customStyle="1" w:styleId="87">
    <w:name w:val="封面标准文稿编辑信息2"/>
    <w:basedOn w:val="88"/>
    <w:qFormat/>
    <w:uiPriority w:val="0"/>
    <w:pPr>
      <w:framePr w:wrap="around" w:y="4469"/>
    </w:pPr>
  </w:style>
  <w:style w:type="paragraph" w:customStyle="1" w:styleId="88">
    <w:name w:val="封面标准文稿编辑信息"/>
    <w:basedOn w:val="89"/>
    <w:qFormat/>
    <w:uiPriority w:val="0"/>
    <w:pPr>
      <w:framePr w:wrap="around"/>
      <w:spacing w:before="180" w:line="180" w:lineRule="exact"/>
    </w:pPr>
    <w:rPr>
      <w:sz w:val="21"/>
    </w:rPr>
  </w:style>
  <w:style w:type="paragraph" w:customStyle="1" w:styleId="89">
    <w:name w:val="封面标准文稿类别"/>
    <w:basedOn w:val="84"/>
    <w:qFormat/>
    <w:uiPriority w:val="0"/>
    <w:pPr>
      <w:framePr w:wrap="around"/>
      <w:spacing w:after="160" w:line="240" w:lineRule="auto"/>
    </w:pPr>
    <w:rPr>
      <w:sz w:val="24"/>
    </w:rPr>
  </w:style>
  <w:style w:type="paragraph" w:customStyle="1" w:styleId="90">
    <w:name w:val="图表脚注说明"/>
    <w:basedOn w:val="1"/>
    <w:qFormat/>
    <w:uiPriority w:val="0"/>
    <w:pPr>
      <w:numPr>
        <w:ilvl w:val="0"/>
        <w:numId w:val="13"/>
      </w:numPr>
    </w:pPr>
    <w:rPr>
      <w:rFonts w:ascii="宋体"/>
      <w:sz w:val="18"/>
      <w:szCs w:val="18"/>
    </w:rPr>
  </w:style>
  <w:style w:type="paragraph" w:customStyle="1" w:styleId="9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2">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3">
    <w:name w:val="列项——（一级）"/>
    <w:qFormat/>
    <w:uiPriority w:val="0"/>
    <w:pPr>
      <w:widowControl w:val="0"/>
      <w:numPr>
        <w:ilvl w:val="0"/>
        <w:numId w:val="14"/>
      </w:numPr>
      <w:jc w:val="both"/>
    </w:pPr>
    <w:rPr>
      <w:rFonts w:ascii="宋体" w:hAnsi="Times New Roman" w:eastAsia="宋体" w:cs="Times New Roman"/>
      <w:sz w:val="21"/>
      <w:lang w:val="en-US" w:eastAsia="zh-CN" w:bidi="ar-SA"/>
    </w:rPr>
  </w:style>
  <w:style w:type="paragraph" w:customStyle="1" w:styleId="9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6">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7">
    <w:name w:val="二级无"/>
    <w:basedOn w:val="63"/>
    <w:qFormat/>
    <w:uiPriority w:val="0"/>
    <w:pPr>
      <w:spacing w:before="0" w:beforeLines="0" w:after="0" w:afterLines="0"/>
    </w:pPr>
    <w:rPr>
      <w:rFonts w:ascii="宋体" w:eastAsia="宋体"/>
    </w:rPr>
  </w:style>
  <w:style w:type="paragraph" w:customStyle="1" w:styleId="98">
    <w:name w:val="注×：（正文）"/>
    <w:qFormat/>
    <w:uiPriority w:val="0"/>
    <w:pPr>
      <w:numPr>
        <w:ilvl w:val="0"/>
        <w:numId w:val="15"/>
      </w:numPr>
      <w:jc w:val="both"/>
    </w:pPr>
    <w:rPr>
      <w:rFonts w:ascii="宋体" w:hAnsi="Times New Roman" w:eastAsia="宋体" w:cs="Times New Roman"/>
      <w:sz w:val="18"/>
      <w:szCs w:val="18"/>
      <w:lang w:val="en-US" w:eastAsia="zh-CN" w:bidi="ar-SA"/>
    </w:rPr>
  </w:style>
  <w:style w:type="paragraph" w:customStyle="1" w:styleId="99">
    <w:name w:val="注×："/>
    <w:qFormat/>
    <w:uiPriority w:val="0"/>
    <w:pPr>
      <w:widowControl w:val="0"/>
      <w:numPr>
        <w:ilvl w:val="0"/>
        <w:numId w:val="16"/>
      </w:numPr>
      <w:autoSpaceDE w:val="0"/>
      <w:autoSpaceDN w:val="0"/>
      <w:jc w:val="both"/>
    </w:pPr>
    <w:rPr>
      <w:rFonts w:ascii="宋体" w:hAnsi="Times New Roman" w:eastAsia="宋体" w:cs="Times New Roman"/>
      <w:sz w:val="18"/>
      <w:szCs w:val="18"/>
      <w:lang w:val="en-US" w:eastAsia="zh-CN" w:bidi="ar-SA"/>
    </w:rPr>
  </w:style>
  <w:style w:type="paragraph" w:customStyle="1" w:styleId="100">
    <w:name w:val="编号列项（三级）"/>
    <w:qFormat/>
    <w:uiPriority w:val="0"/>
    <w:rPr>
      <w:rFonts w:ascii="宋体" w:hAnsi="Times New Roman" w:eastAsia="宋体" w:cs="Times New Roman"/>
      <w:sz w:val="21"/>
      <w:lang w:val="en-US" w:eastAsia="zh-CN" w:bidi="ar-SA"/>
    </w:rPr>
  </w:style>
  <w:style w:type="paragraph" w:customStyle="1" w:styleId="101">
    <w:name w:val="封面标准名称2"/>
    <w:basedOn w:val="71"/>
    <w:qFormat/>
    <w:uiPriority w:val="0"/>
    <w:pPr>
      <w:framePr w:wrap="around" w:y="4469"/>
      <w:spacing w:before="630" w:beforeLines="630"/>
    </w:pPr>
  </w:style>
  <w:style w:type="paragraph" w:customStyle="1" w:styleId="102">
    <w:name w:val="列项●（二级）"/>
    <w:qFormat/>
    <w:uiPriority w:val="0"/>
    <w:pPr>
      <w:numPr>
        <w:ilvl w:val="1"/>
        <w:numId w:val="14"/>
      </w:numPr>
      <w:tabs>
        <w:tab w:val="left" w:pos="840"/>
      </w:tabs>
      <w:jc w:val="both"/>
    </w:pPr>
    <w:rPr>
      <w:rFonts w:ascii="宋体" w:hAnsi="Times New Roman" w:eastAsia="宋体" w:cs="Times New Roman"/>
      <w:sz w:val="21"/>
      <w:lang w:val="en-US" w:eastAsia="zh-CN" w:bidi="ar-SA"/>
    </w:rPr>
  </w:style>
  <w:style w:type="paragraph" w:customStyle="1" w:styleId="103">
    <w:name w:val="附录标识"/>
    <w:basedOn w:val="1"/>
    <w:next w:val="23"/>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4">
    <w:name w:val="附录表标号"/>
    <w:basedOn w:val="1"/>
    <w:next w:val="23"/>
    <w:qFormat/>
    <w:uiPriority w:val="0"/>
    <w:pPr>
      <w:numPr>
        <w:ilvl w:val="0"/>
        <w:numId w:val="17"/>
      </w:numPr>
      <w:tabs>
        <w:tab w:val="clear" w:pos="0"/>
      </w:tabs>
      <w:spacing w:line="14" w:lineRule="exact"/>
      <w:ind w:left="811" w:hanging="448"/>
      <w:jc w:val="center"/>
      <w:outlineLvl w:val="0"/>
    </w:pPr>
    <w:rPr>
      <w:color w:val="FFFFFF"/>
    </w:rPr>
  </w:style>
  <w:style w:type="paragraph" w:customStyle="1" w:styleId="105">
    <w:name w:val="附录一级条标题"/>
    <w:basedOn w:val="65"/>
    <w:next w:val="23"/>
    <w:qFormat/>
    <w:uiPriority w:val="0"/>
    <w:pPr>
      <w:numPr>
        <w:ilvl w:val="2"/>
      </w:numPr>
      <w:autoSpaceDN w:val="0"/>
      <w:spacing w:before="50" w:beforeLines="50" w:after="50" w:afterLines="50"/>
      <w:outlineLvl w:val="2"/>
    </w:pPr>
  </w:style>
  <w:style w:type="paragraph" w:customStyle="1" w:styleId="106">
    <w:name w:val="示例后文字"/>
    <w:basedOn w:val="23"/>
    <w:next w:val="23"/>
    <w:qFormat/>
    <w:uiPriority w:val="0"/>
    <w:pPr>
      <w:ind w:firstLine="360"/>
    </w:pPr>
    <w:rPr>
      <w:sz w:val="18"/>
    </w:rPr>
  </w:style>
  <w:style w:type="paragraph" w:customStyle="1" w:styleId="107">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08">
    <w:name w:val="标准书眉一"/>
    <w:qFormat/>
    <w:uiPriority w:val="0"/>
    <w:pPr>
      <w:jc w:val="both"/>
    </w:pPr>
    <w:rPr>
      <w:rFonts w:ascii="Times New Roman" w:hAnsi="Times New Roman" w:eastAsia="宋体" w:cs="Times New Roman"/>
      <w:lang w:val="en-US" w:eastAsia="zh-CN" w:bidi="ar-SA"/>
    </w:rPr>
  </w:style>
  <w:style w:type="paragraph" w:customStyle="1" w:styleId="109">
    <w:name w:val="列项◆（三级）"/>
    <w:basedOn w:val="1"/>
    <w:qFormat/>
    <w:uiPriority w:val="0"/>
    <w:pPr>
      <w:numPr>
        <w:ilvl w:val="2"/>
        <w:numId w:val="14"/>
      </w:numPr>
    </w:pPr>
    <w:rPr>
      <w:rFonts w:ascii="宋体"/>
      <w:szCs w:val="21"/>
    </w:rPr>
  </w:style>
  <w:style w:type="paragraph" w:customStyle="1" w:styleId="11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1">
    <w:name w:val="附录一级无"/>
    <w:basedOn w:val="105"/>
    <w:qFormat/>
    <w:uiPriority w:val="0"/>
    <w:pPr>
      <w:tabs>
        <w:tab w:val="clear" w:pos="360"/>
      </w:tabs>
      <w:spacing w:before="0" w:beforeLines="0" w:after="0" w:afterLines="0"/>
    </w:pPr>
    <w:rPr>
      <w:rFonts w:ascii="宋体" w:eastAsia="宋体"/>
      <w:szCs w:val="21"/>
    </w:rPr>
  </w:style>
  <w:style w:type="paragraph" w:customStyle="1" w:styleId="11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3">
    <w:name w:val="封面正文"/>
    <w:qFormat/>
    <w:uiPriority w:val="0"/>
    <w:pPr>
      <w:jc w:val="both"/>
    </w:pPr>
    <w:rPr>
      <w:rFonts w:ascii="Times New Roman" w:hAnsi="Times New Roman" w:eastAsia="宋体" w:cs="Times New Roman"/>
      <w:lang w:val="en-US" w:eastAsia="zh-CN" w:bidi="ar-SA"/>
    </w:rPr>
  </w:style>
  <w:style w:type="paragraph" w:customStyle="1" w:styleId="114">
    <w:name w:val="附录标题"/>
    <w:basedOn w:val="23"/>
    <w:next w:val="23"/>
    <w:qFormat/>
    <w:uiPriority w:val="0"/>
    <w:pPr>
      <w:ind w:firstLine="0" w:firstLineChars="0"/>
      <w:jc w:val="center"/>
    </w:pPr>
    <w:rPr>
      <w:rFonts w:ascii="黑体" w:eastAsia="黑体"/>
    </w:rPr>
  </w:style>
  <w:style w:type="paragraph" w:customStyle="1" w:styleId="115">
    <w:name w:val="附录表标题"/>
    <w:basedOn w:val="1"/>
    <w:next w:val="23"/>
    <w:qFormat/>
    <w:uiPriority w:val="0"/>
    <w:pPr>
      <w:numPr>
        <w:ilvl w:val="1"/>
        <w:numId w:val="17"/>
      </w:numPr>
      <w:tabs>
        <w:tab w:val="left" w:pos="180"/>
      </w:tabs>
      <w:spacing w:before="50" w:beforeLines="50" w:after="50" w:afterLines="50"/>
      <w:ind w:left="0" w:firstLine="0"/>
      <w:jc w:val="center"/>
    </w:pPr>
    <w:rPr>
      <w:rFonts w:ascii="黑体" w:eastAsia="黑体"/>
      <w:szCs w:val="21"/>
    </w:rPr>
  </w:style>
  <w:style w:type="paragraph" w:customStyle="1" w:styleId="116">
    <w:name w:val="附录四级无"/>
    <w:basedOn w:val="57"/>
    <w:qFormat/>
    <w:uiPriority w:val="0"/>
    <w:pPr>
      <w:tabs>
        <w:tab w:val="clear" w:pos="360"/>
      </w:tabs>
      <w:spacing w:before="0" w:beforeLines="0" w:after="0" w:afterLines="0"/>
    </w:pPr>
    <w:rPr>
      <w:rFonts w:ascii="宋体" w:eastAsia="宋体"/>
      <w:szCs w:val="21"/>
    </w:rPr>
  </w:style>
  <w:style w:type="paragraph" w:customStyle="1" w:styleId="117">
    <w:name w:val="附录五级无"/>
    <w:basedOn w:val="69"/>
    <w:qFormat/>
    <w:uiPriority w:val="0"/>
    <w:pPr>
      <w:tabs>
        <w:tab w:val="clear" w:pos="360"/>
      </w:tabs>
      <w:spacing w:before="0" w:beforeLines="0" w:after="0" w:afterLines="0"/>
    </w:pPr>
    <w:rPr>
      <w:rFonts w:ascii="宋体" w:eastAsia="宋体"/>
      <w:szCs w:val="21"/>
    </w:rPr>
  </w:style>
  <w:style w:type="paragraph" w:customStyle="1" w:styleId="118">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9">
    <w:name w:val="附录图标题"/>
    <w:basedOn w:val="1"/>
    <w:next w:val="23"/>
    <w:qFormat/>
    <w:uiPriority w:val="0"/>
    <w:pPr>
      <w:numPr>
        <w:ilvl w:val="1"/>
        <w:numId w:val="4"/>
      </w:numPr>
      <w:tabs>
        <w:tab w:val="left" w:pos="363"/>
      </w:tabs>
      <w:spacing w:before="50" w:beforeLines="50" w:after="50" w:afterLines="50"/>
      <w:ind w:left="0" w:firstLine="0"/>
      <w:jc w:val="center"/>
    </w:pPr>
    <w:rPr>
      <w:rFonts w:ascii="黑体" w:eastAsia="黑体"/>
      <w:szCs w:val="21"/>
    </w:rPr>
  </w:style>
  <w:style w:type="paragraph" w:customStyle="1" w:styleId="120">
    <w:name w:val="附录字母编号列项（一级）"/>
    <w:qFormat/>
    <w:uiPriority w:val="0"/>
    <w:pPr>
      <w:numPr>
        <w:ilvl w:val="0"/>
        <w:numId w:val="11"/>
      </w:numPr>
    </w:pPr>
    <w:rPr>
      <w:rFonts w:ascii="宋体" w:hAnsi="Times New Roman" w:eastAsia="宋体" w:cs="Times New Roman"/>
      <w:sz w:val="21"/>
      <w:lang w:val="en-US" w:eastAsia="zh-CN" w:bidi="ar-SA"/>
    </w:rPr>
  </w:style>
  <w:style w:type="paragraph" w:customStyle="1" w:styleId="121">
    <w:name w:val="一级无"/>
    <w:basedOn w:val="64"/>
    <w:qFormat/>
    <w:uiPriority w:val="0"/>
    <w:pPr>
      <w:spacing w:before="0" w:beforeLines="0" w:after="0" w:afterLines="0"/>
    </w:pPr>
    <w:rPr>
      <w:rFonts w:ascii="宋体" w:eastAsia="宋体"/>
    </w:rPr>
  </w:style>
  <w:style w:type="paragraph" w:customStyle="1" w:styleId="12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3">
    <w:name w:val="正文图标题"/>
    <w:next w:val="23"/>
    <w:qFormat/>
    <w:uiPriority w:val="0"/>
    <w:pPr>
      <w:numPr>
        <w:ilvl w:val="0"/>
        <w:numId w:val="18"/>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4">
    <w:name w:val="其他标准标志"/>
    <w:basedOn w:val="91"/>
    <w:qFormat/>
    <w:uiPriority w:val="0"/>
    <w:pPr>
      <w:framePr w:w="6101" w:wrap="around" w:vAnchor="page" w:hAnchor="page" w:x="4673" w:y="942"/>
    </w:pPr>
    <w:rPr>
      <w:w w:val="130"/>
    </w:rPr>
  </w:style>
  <w:style w:type="paragraph" w:customStyle="1" w:styleId="125">
    <w:name w:val="其他发布部门"/>
    <w:basedOn w:val="107"/>
    <w:qFormat/>
    <w:uiPriority w:val="0"/>
    <w:pPr>
      <w:framePr w:wrap="around" w:y="15310"/>
      <w:spacing w:line="0" w:lineRule="atLeast"/>
    </w:pPr>
    <w:rPr>
      <w:rFonts w:ascii="黑体" w:eastAsia="黑体"/>
      <w:b w:val="0"/>
    </w:rPr>
  </w:style>
  <w:style w:type="paragraph" w:customStyle="1" w:styleId="126">
    <w:name w:val="封面标准英文名称2"/>
    <w:basedOn w:val="85"/>
    <w:qFormat/>
    <w:uiPriority w:val="0"/>
    <w:pPr>
      <w:framePr w:wrap="around" w:y="4469"/>
    </w:pPr>
  </w:style>
  <w:style w:type="paragraph" w:customStyle="1" w:styleId="127">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8">
    <w:name w:val="三级无"/>
    <w:basedOn w:val="75"/>
    <w:qFormat/>
    <w:uiPriority w:val="0"/>
    <w:pPr>
      <w:spacing w:before="0" w:beforeLines="0" w:after="0" w:afterLines="0"/>
    </w:pPr>
    <w:rPr>
      <w:rFonts w:ascii="宋体" w:eastAsia="宋体"/>
    </w:rPr>
  </w:style>
  <w:style w:type="paragraph" w:customStyle="1" w:styleId="129">
    <w:name w:val="四级无"/>
    <w:basedOn w:val="77"/>
    <w:qFormat/>
    <w:uiPriority w:val="0"/>
    <w:pPr>
      <w:spacing w:before="0" w:beforeLines="0" w:after="0" w:afterLines="0"/>
    </w:pPr>
    <w:rPr>
      <w:rFonts w:ascii="宋体" w:eastAsia="宋体"/>
    </w:rPr>
  </w:style>
  <w:style w:type="paragraph" w:customStyle="1" w:styleId="130">
    <w:name w:val="封面一致性程度标识2"/>
    <w:basedOn w:val="84"/>
    <w:qFormat/>
    <w:uiPriority w:val="0"/>
    <w:pPr>
      <w:framePr w:wrap="around" w:y="4469"/>
    </w:pPr>
  </w:style>
  <w:style w:type="paragraph" w:customStyle="1" w:styleId="131">
    <w:name w:val="终结线"/>
    <w:basedOn w:val="1"/>
    <w:qFormat/>
    <w:uiPriority w:val="0"/>
    <w:pPr>
      <w:framePr w:hSpace="181" w:vSpace="181" w:wrap="around" w:vAnchor="text" w:hAnchor="margin" w:xAlign="center" w:y="285"/>
    </w:pPr>
  </w:style>
  <w:style w:type="paragraph" w:customStyle="1" w:styleId="132">
    <w:name w:val="条文脚注"/>
    <w:basedOn w:val="24"/>
    <w:qFormat/>
    <w:uiPriority w:val="0"/>
    <w:pPr>
      <w:numPr>
        <w:numId w:val="0"/>
      </w:numPr>
      <w:jc w:val="both"/>
    </w:pPr>
  </w:style>
  <w:style w:type="paragraph" w:customStyle="1" w:styleId="133">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5">
    <w:name w:val="五级无"/>
    <w:basedOn w:val="76"/>
    <w:qFormat/>
    <w:uiPriority w:val="0"/>
    <w:pPr>
      <w:spacing w:before="0" w:beforeLines="0" w:after="0" w:afterLines="0"/>
    </w:pPr>
    <w:rPr>
      <w:rFonts w:ascii="宋体" w:eastAsia="宋体"/>
    </w:rPr>
  </w:style>
  <w:style w:type="paragraph" w:customStyle="1" w:styleId="136">
    <w:name w:val="正文公式编号制表符"/>
    <w:basedOn w:val="23"/>
    <w:next w:val="23"/>
    <w:qFormat/>
    <w:uiPriority w:val="0"/>
    <w:pPr>
      <w:ind w:firstLine="0" w:firstLineChars="0"/>
    </w:pPr>
  </w:style>
  <w:style w:type="paragraph" w:customStyle="1" w:styleId="137">
    <w:name w:val="其他发布日期"/>
    <w:basedOn w:val="51"/>
    <w:qFormat/>
    <w:uiPriority w:val="0"/>
    <w:pPr>
      <w:framePr w:wrap="around" w:vAnchor="page" w:hAnchor="text" w:x="1419"/>
    </w:pPr>
  </w:style>
  <w:style w:type="paragraph" w:customStyle="1" w:styleId="138">
    <w:name w:val="封面标准文稿类别2"/>
    <w:basedOn w:val="89"/>
    <w:qFormat/>
    <w:uiPriority w:val="0"/>
    <w:pPr>
      <w:framePr w:wrap="around" w:y="4469"/>
    </w:pPr>
  </w:style>
  <w:style w:type="paragraph" w:customStyle="1" w:styleId="13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40">
    <w:name w:val="_Style 139"/>
    <w:unhideWhenUsed/>
    <w:qFormat/>
    <w:uiPriority w:val="99"/>
    <w:rPr>
      <w:rFonts w:ascii="Times New Roman" w:hAnsi="Times New Roman" w:eastAsia="宋体" w:cs="Times New Roman"/>
      <w:kern w:val="2"/>
      <w:sz w:val="21"/>
      <w:szCs w:val="24"/>
      <w:lang w:val="en-US" w:eastAsia="zh-CN" w:bidi="ar-SA"/>
    </w:rPr>
  </w:style>
  <w:style w:type="paragraph" w:customStyle="1" w:styleId="141">
    <w:name w:val="_Style 140"/>
    <w:basedOn w:val="2"/>
    <w:next w:val="1"/>
    <w:unhideWhenUsed/>
    <w:qFormat/>
    <w:uiPriority w:val="39"/>
    <w:pPr>
      <w:keepNext/>
      <w:keepLines/>
      <w:spacing w:before="240" w:beforeAutospacing="0" w:after="0" w:afterAutospacing="0" w:line="259" w:lineRule="auto"/>
      <w:outlineLvl w:val="9"/>
    </w:pPr>
    <w:rPr>
      <w:rFonts w:ascii="等线 Light" w:hAnsi="等线 Light" w:eastAsia="等线 Light" w:cs="Times New Roman"/>
      <w:b w:val="0"/>
      <w:bCs w:val="0"/>
      <w:color w:val="2F5496"/>
      <w:kern w:val="0"/>
      <w:sz w:val="32"/>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7</Pages>
  <Words>632</Words>
  <Characters>3604</Characters>
  <Lines>30</Lines>
  <Paragraphs>8</Paragraphs>
  <TotalTime>0</TotalTime>
  <ScaleCrop>false</ScaleCrop>
  <LinksUpToDate>false</LinksUpToDate>
  <CharactersWithSpaces>4228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2023-10-01T03:19:00Z</dcterms:created>
  <dc:creator>CNIS</dc:creator>
  <cp:lastModifiedBy>睿雪纷飞</cp:lastModifiedBy>
  <dcterms:modified xsi:type="dcterms:W3CDTF">2023-11-30T03:00:39Z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4A97C26B511B46C7805CA68430F77170</vt:lpwstr>
  </property>
</Properties>
</file>