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588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食糖进口关税配额申请表</w:t>
      </w:r>
    </w:p>
    <w:p>
      <w:pPr>
        <w:ind w:right="-733" w:rightChars="-349"/>
        <w:jc w:val="right"/>
        <w:rPr>
          <w:rFonts w:hint="default" w:ascii="Times New Roman" w:hAnsi="Times New Roman" w:eastAsia="仿宋_GB2312" w:cs="Times New Roman"/>
          <w:b w:val="0"/>
          <w:bCs/>
          <w:szCs w:val="21"/>
        </w:rPr>
      </w:pPr>
      <w:r>
        <w:rPr>
          <w:rFonts w:hint="default" w:ascii="Times New Roman" w:hAnsi="Times New Roman" w:eastAsia="仿宋_GB2312" w:cs="Times New Roman"/>
          <w:b w:val="0"/>
          <w:bCs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Cs w:val="21"/>
        </w:rPr>
        <w:t>数量单位：吨</w:t>
      </w:r>
    </w:p>
    <w:tbl>
      <w:tblPr>
        <w:tblStyle w:val="4"/>
        <w:tblW w:w="10012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950"/>
        <w:gridCol w:w="2175"/>
        <w:gridCol w:w="2012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企业注册地址：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012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企业性质：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国有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股份制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民营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外商投资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67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2023年是否获得关税配额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Cs w:val="21"/>
                <w:lang w:val="en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是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67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配额种类、数量及贸易方式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配额，其中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（1）一般贸易：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（2）加工贸易：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配额，其中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（1）一般贸易：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（2）加工贸易：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67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经营情况</w:t>
            </w:r>
          </w:p>
        </w:tc>
        <w:tc>
          <w:tcPr>
            <w:tcW w:w="8337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该产品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产量：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食糖年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用量：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8337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该产品年销售额（万元）：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以下由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获得年度关税配额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的企业填写（不包括代理进口）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配额量</w:t>
            </w: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实际进口量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（核销量）</w:t>
            </w: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restart"/>
            <w:vAlign w:val="center"/>
          </w:tcPr>
          <w:p>
            <w:pPr>
              <w:ind w:right="-220" w:rightChars="-105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中期调整退回量</w:t>
            </w: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是否同意对外提供本企业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数量   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是  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exact"/>
        </w:trPr>
        <w:tc>
          <w:tcPr>
            <w:tcW w:w="10012" w:type="dxa"/>
            <w:gridSpan w:val="5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本企业已阅知《202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食糖进口关税配额申请和分配细则》相关内容，并郑重承诺本企业符合食糖进口关税配额申请条件，提交的食糖进口关税配额各项申报材料真实、准确、有效；获得食糖进口关税配额后，保证按照国家有关法律、法规、规章开展进口业务。如违反本承诺，愿承担相应法律责任和后果，并接受相关惩戒。</w:t>
            </w: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申请企业（盖章）             企业法人代表人（签字）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                日期：</w:t>
            </w:r>
          </w:p>
        </w:tc>
      </w:tr>
    </w:tbl>
    <w:p>
      <w:pPr>
        <w:spacing w:line="280" w:lineRule="exact"/>
        <w:ind w:left="0" w:leftChars="-295" w:hanging="619" w:hangingChars="295"/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eastAsia="zh-CN"/>
        </w:rPr>
        <w:t>填表说明：</w:t>
      </w:r>
    </w:p>
    <w:p>
      <w:pPr>
        <w:numPr>
          <w:ilvl w:val="0"/>
          <w:numId w:val="0"/>
        </w:numPr>
        <w:spacing w:line="280" w:lineRule="exact"/>
        <w:ind w:leftChars="-690"/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    1.企业名称与统一社会信用代码必须一一对应，一码一申请。</w:t>
      </w:r>
    </w:p>
    <w:p>
      <w:pPr>
        <w:numPr>
          <w:ilvl w:val="0"/>
          <w:numId w:val="0"/>
        </w:numPr>
        <w:spacing w:line="280" w:lineRule="exact"/>
        <w:ind w:leftChars="-690" w:right="-932" w:rightChars="-444"/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    2.在“申请关税配额种类”中，企业可勾选非国营贸易关税配额，或者国营贸易关税配额，或者两者皆勾选。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8F62C0-EDD5-4BF3-9595-AA9BE48251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BF6710D-9622-4F02-B893-DA0C831710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5B1BCDE-F509-462A-B403-80F5D95EFD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TlhOGQ5ZGVlNDk3NTExZjY3Y2YzM2E0YmU4NWIifQ=="/>
  </w:docVars>
  <w:rsids>
    <w:rsidRoot w:val="0AAC5298"/>
    <w:rsid w:val="0AA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2023-10-08T03:48:00Z</dcterms:created>
  <dc:creator>。</dc:creator>
  <cp:lastModifiedBy>。</cp:lastModifiedBy>
  <dcterms:modified xsi:type="dcterms:W3CDTF">2023-10-08T03:53:17Z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C44672B133AA4E1F845C63943557203D_11</vt:lpwstr>
  </property>
</Properties>
</file>