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44"/>
          <w:szCs w:val="44"/>
        </w:rPr>
      </w:pPr>
      <w:r>
        <w:rPr>
          <w:rFonts w:hint="eastAsia"/>
          <w:b/>
          <w:bCs/>
          <w:sz w:val="44"/>
          <w:szCs w:val="44"/>
          <w:lang w:val="en-US" w:eastAsia="zh-CN"/>
        </w:rPr>
        <w:t>广西糖业集团21/22榨季</w:t>
      </w:r>
      <w:r>
        <w:rPr>
          <w:rFonts w:hint="eastAsia"/>
          <w:b/>
          <w:bCs/>
          <w:sz w:val="44"/>
          <w:szCs w:val="44"/>
        </w:rPr>
        <w:t>食糖运输服务合同</w:t>
      </w:r>
    </w:p>
    <w:p>
      <w:pPr>
        <w:jc w:val="center"/>
        <w:rPr>
          <w:color w:val="auto"/>
          <w:sz w:val="24"/>
          <w:highlight w:val="none"/>
        </w:rPr>
      </w:pPr>
    </w:p>
    <w:p>
      <w:pPr>
        <w:rPr>
          <w:sz w:val="24"/>
        </w:rPr>
      </w:pPr>
      <w:r>
        <w:rPr>
          <w:rFonts w:hint="eastAsia"/>
          <w:sz w:val="24"/>
        </w:rPr>
        <w:t>协议编号：</w:t>
      </w:r>
      <w:r>
        <w:rPr>
          <w:rFonts w:hint="eastAsia"/>
          <w:sz w:val="24"/>
          <w:u w:val="single"/>
        </w:rPr>
        <w:t>202</w:t>
      </w:r>
      <w:r>
        <w:rPr>
          <w:rFonts w:hint="eastAsia"/>
          <w:sz w:val="24"/>
          <w:u w:val="single"/>
          <w:lang w:val="en-US" w:eastAsia="zh-CN"/>
        </w:rPr>
        <w:t>1</w:t>
      </w:r>
      <w:r>
        <w:rPr>
          <w:rFonts w:hint="eastAsia"/>
          <w:sz w:val="24"/>
          <w:u w:val="single"/>
        </w:rPr>
        <w:t>/202</w:t>
      </w:r>
      <w:r>
        <w:rPr>
          <w:rFonts w:hint="eastAsia"/>
          <w:sz w:val="24"/>
          <w:u w:val="single"/>
          <w:lang w:val="en-US" w:eastAsia="zh-CN"/>
        </w:rPr>
        <w:t>2</w:t>
      </w:r>
      <w:r>
        <w:rPr>
          <w:rFonts w:hint="eastAsia"/>
          <w:sz w:val="24"/>
          <w:u w:val="single"/>
        </w:rPr>
        <w:t>FTZJWL合字｛202</w:t>
      </w:r>
      <w:r>
        <w:rPr>
          <w:rFonts w:hint="eastAsia"/>
          <w:sz w:val="24"/>
          <w:u w:val="single"/>
          <w:lang w:val="en-US" w:eastAsia="zh-CN"/>
        </w:rPr>
        <w:t>1</w:t>
      </w:r>
      <w:r>
        <w:rPr>
          <w:rFonts w:hint="eastAsia"/>
          <w:sz w:val="24"/>
          <w:u w:val="single"/>
        </w:rPr>
        <w:t>｝第号</w:t>
      </w:r>
    </w:p>
    <w:p>
      <w:pPr>
        <w:rPr>
          <w:sz w:val="24"/>
        </w:rPr>
      </w:pPr>
      <w:r>
        <w:rPr>
          <w:rFonts w:hint="eastAsia"/>
          <w:sz w:val="24"/>
        </w:rPr>
        <w:t>协议签订地：</w:t>
      </w:r>
      <w:r>
        <w:rPr>
          <w:rFonts w:hint="eastAsia"/>
          <w:sz w:val="24"/>
          <w:u w:val="single"/>
        </w:rPr>
        <w:t xml:space="preserve">  </w:t>
      </w:r>
      <w:r>
        <w:rPr>
          <w:rFonts w:hint="eastAsia"/>
          <w:sz w:val="24"/>
          <w:u w:val="single"/>
          <w:lang w:val="en-US" w:eastAsia="zh-CN"/>
        </w:rPr>
        <w:t>南宁市良庆区平乐大道18号8楼</w:t>
      </w:r>
      <w:r>
        <w:rPr>
          <w:rFonts w:hint="eastAsia"/>
          <w:sz w:val="24"/>
          <w:u w:val="single"/>
        </w:rPr>
        <w:t xml:space="preserve">  </w:t>
      </w:r>
    </w:p>
    <w:p>
      <w:pPr>
        <w:rPr>
          <w:color w:val="auto"/>
          <w:sz w:val="24"/>
          <w:highlight w:val="none"/>
        </w:rPr>
      </w:pPr>
    </w:p>
    <w:p>
      <w:pPr>
        <w:rPr>
          <w:rFonts w:hint="eastAsia" w:eastAsiaTheme="minorEastAsia"/>
          <w:color w:val="auto"/>
          <w:sz w:val="24"/>
          <w:highlight w:val="none"/>
          <w:lang w:val="en-US" w:eastAsia="zh-CN"/>
        </w:rPr>
      </w:pPr>
      <w:r>
        <w:rPr>
          <w:rFonts w:hint="eastAsia"/>
          <w:color w:val="auto"/>
          <w:sz w:val="24"/>
          <w:highlight w:val="none"/>
        </w:rPr>
        <w:t>甲方:</w:t>
      </w:r>
    </w:p>
    <w:p>
      <w:pPr>
        <w:rPr>
          <w:color w:val="auto"/>
          <w:sz w:val="24"/>
          <w:highlight w:val="none"/>
        </w:rPr>
      </w:pPr>
    </w:p>
    <w:p>
      <w:pPr>
        <w:rPr>
          <w:color w:val="auto"/>
          <w:sz w:val="24"/>
          <w:highlight w:val="none"/>
        </w:rPr>
      </w:pPr>
    </w:p>
    <w:p>
      <w:pPr>
        <w:rPr>
          <w:color w:val="auto"/>
          <w:sz w:val="24"/>
          <w:highlight w:val="none"/>
        </w:rPr>
      </w:pPr>
      <w:r>
        <w:rPr>
          <w:rFonts w:hint="eastAsia"/>
          <w:color w:val="auto"/>
          <w:sz w:val="24"/>
          <w:highlight w:val="none"/>
        </w:rPr>
        <w:t>乙方：</w:t>
      </w:r>
    </w:p>
    <w:p>
      <w:pPr>
        <w:rPr>
          <w:color w:val="auto"/>
          <w:sz w:val="24"/>
          <w:highlight w:val="none"/>
        </w:rPr>
      </w:pPr>
    </w:p>
    <w:p>
      <w:pPr>
        <w:rPr>
          <w:color w:val="auto"/>
          <w:sz w:val="24"/>
          <w:highlight w:val="none"/>
        </w:rPr>
      </w:pPr>
    </w:p>
    <w:p>
      <w:pPr>
        <w:rPr>
          <w:color w:val="auto"/>
          <w:sz w:val="24"/>
          <w:highlight w:val="none"/>
        </w:rPr>
      </w:pPr>
    </w:p>
    <w:p>
      <w:pPr>
        <w:spacing w:line="360" w:lineRule="auto"/>
        <w:ind w:firstLine="480" w:firstLineChars="200"/>
        <w:rPr>
          <w:rFonts w:asciiTheme="minorEastAsia" w:hAnsiTheme="minorEastAsia"/>
          <w:color w:val="auto"/>
          <w:sz w:val="24"/>
          <w:highlight w:val="none"/>
        </w:rPr>
      </w:pPr>
      <w:r>
        <w:rPr>
          <w:rFonts w:hint="eastAsia" w:asciiTheme="minorEastAsia" w:hAnsiTheme="minorEastAsia"/>
          <w:color w:val="auto"/>
          <w:sz w:val="24"/>
          <w:highlight w:val="none"/>
        </w:rPr>
        <w:t>为了做好甲方2020/2021机制糖生产榨季食糖的调运工作，确保食糖安全、及时、按量的运输至指定地点。通过竞价，乙方承担甲方的食糖汽车运输业务。根据《中华人民共和国合同法》，本着自愿与互惠互利的合作原则，经甲乙双方友好协商，现就食糖运输事宜甲乙双方达成以下协议，双方共同遵守执行。</w:t>
      </w:r>
    </w:p>
    <w:p>
      <w:pPr>
        <w:spacing w:line="276" w:lineRule="auto"/>
        <w:rPr>
          <w:rFonts w:asciiTheme="minorEastAsia" w:hAnsiTheme="minorEastAsia"/>
          <w:color w:val="auto"/>
          <w:sz w:val="24"/>
          <w:highlight w:val="none"/>
        </w:rPr>
      </w:pPr>
    </w:p>
    <w:p>
      <w:pPr>
        <w:numPr>
          <w:ilvl w:val="0"/>
          <w:numId w:val="1"/>
        </w:numPr>
        <w:spacing w:line="360" w:lineRule="auto"/>
        <w:outlineLvl w:val="0"/>
        <w:rPr>
          <w:rFonts w:cs="宋体" w:asciiTheme="minorEastAsia" w:hAnsiTheme="minorEastAsia"/>
          <w:color w:val="auto"/>
          <w:sz w:val="24"/>
          <w:highlight w:val="none"/>
        </w:rPr>
      </w:pPr>
      <w:r>
        <w:rPr>
          <w:rFonts w:hint="eastAsia" w:asciiTheme="minorEastAsia" w:hAnsiTheme="minorEastAsia"/>
          <w:b/>
          <w:bCs/>
          <w:color w:val="auto"/>
          <w:sz w:val="24"/>
          <w:highlight w:val="none"/>
        </w:rPr>
        <w:t>承运货物</w:t>
      </w:r>
    </w:p>
    <w:p>
      <w:pPr>
        <w:numPr>
          <w:ilvl w:val="0"/>
          <w:numId w:val="2"/>
        </w:numPr>
        <w:spacing w:line="360" w:lineRule="auto"/>
        <w:ind w:firstLine="480" w:firstLineChars="200"/>
        <w:outlineLvl w:val="0"/>
        <w:rPr>
          <w:rFonts w:cs="宋体" w:asciiTheme="minorEastAsia" w:hAnsiTheme="minorEastAsia"/>
          <w:color w:val="auto"/>
          <w:sz w:val="24"/>
          <w:highlight w:val="none"/>
        </w:rPr>
      </w:pPr>
      <w:r>
        <w:rPr>
          <w:rFonts w:hint="eastAsia" w:cs="宋体" w:asciiTheme="minorEastAsia" w:hAnsiTheme="minorEastAsia"/>
          <w:color w:val="auto"/>
          <w:sz w:val="24"/>
          <w:highlight w:val="none"/>
        </w:rPr>
        <w:t>货物名称：合同有效期内承运的包装食糖。</w:t>
      </w:r>
    </w:p>
    <w:p>
      <w:pPr>
        <w:numPr>
          <w:ilvl w:val="0"/>
          <w:numId w:val="2"/>
        </w:numPr>
        <w:spacing w:line="360" w:lineRule="auto"/>
        <w:ind w:firstLine="480" w:firstLineChars="200"/>
        <w:outlineLvl w:val="0"/>
        <w:rPr>
          <w:rFonts w:cs="宋体" w:asciiTheme="minorEastAsia" w:hAnsiTheme="minorEastAsia"/>
          <w:color w:val="auto"/>
          <w:sz w:val="24"/>
          <w:highlight w:val="none"/>
        </w:rPr>
      </w:pPr>
      <w:r>
        <w:rPr>
          <w:rFonts w:hint="eastAsia" w:cs="宋体" w:asciiTheme="minorEastAsia" w:hAnsiTheme="minorEastAsia"/>
          <w:color w:val="auto"/>
          <w:sz w:val="24"/>
          <w:highlight w:val="none"/>
        </w:rPr>
        <w:t>货物包装：编织袋装食糖、捆绑带（1.5吨）打包食糖。</w:t>
      </w:r>
    </w:p>
    <w:p>
      <w:pPr>
        <w:spacing w:line="360" w:lineRule="auto"/>
        <w:outlineLvl w:val="0"/>
        <w:rPr>
          <w:rFonts w:cs="宋体" w:asciiTheme="minorEastAsia" w:hAnsiTheme="minorEastAsia"/>
          <w:color w:val="auto"/>
          <w:sz w:val="24"/>
          <w:highlight w:val="none"/>
        </w:rPr>
      </w:pPr>
    </w:p>
    <w:p>
      <w:pPr>
        <w:numPr>
          <w:ilvl w:val="0"/>
          <w:numId w:val="1"/>
        </w:numPr>
        <w:spacing w:line="360" w:lineRule="auto"/>
        <w:outlineLvl w:val="0"/>
        <w:rPr>
          <w:rFonts w:cs="宋体" w:asciiTheme="minorEastAsia" w:hAnsiTheme="minorEastAsia"/>
          <w:color w:val="auto"/>
          <w:sz w:val="24"/>
          <w:highlight w:val="none"/>
          <w:u w:val="single"/>
        </w:rPr>
      </w:pPr>
      <w:r>
        <w:rPr>
          <w:rFonts w:hint="eastAsia" w:cs="宋体" w:asciiTheme="minorEastAsia" w:hAnsiTheme="minorEastAsia"/>
          <w:b/>
          <w:bCs/>
          <w:color w:val="auto"/>
          <w:sz w:val="24"/>
          <w:highlight w:val="none"/>
        </w:rPr>
        <w:t>运输路线、运输价格等相关事宜</w:t>
      </w:r>
    </w:p>
    <w:p>
      <w:pPr>
        <w:numPr>
          <w:ilvl w:val="0"/>
          <w:numId w:val="3"/>
        </w:numPr>
        <w:spacing w:line="360" w:lineRule="auto"/>
        <w:ind w:firstLine="480" w:firstLineChars="200"/>
        <w:outlineLvl w:val="0"/>
        <w:rPr>
          <w:rFonts w:cs="宋体" w:asciiTheme="minorEastAsia" w:hAnsiTheme="minorEastAsia"/>
          <w:color w:val="auto"/>
          <w:sz w:val="24"/>
          <w:highlight w:val="none"/>
        </w:rPr>
      </w:pPr>
      <w:r>
        <w:rPr>
          <w:rFonts w:hint="eastAsia" w:cs="宋体" w:asciiTheme="minorEastAsia" w:hAnsiTheme="minorEastAsia"/>
          <w:color w:val="auto"/>
          <w:sz w:val="24"/>
          <w:highlight w:val="none"/>
        </w:rPr>
        <w:t>路线： 起运地：</w:t>
      </w:r>
      <w:r>
        <w:rPr>
          <w:rFonts w:hint="eastAsia" w:cs="宋体" w:asciiTheme="minorEastAsia" w:hAnsiTheme="minorEastAsia"/>
          <w:color w:val="auto"/>
          <w:sz w:val="24"/>
          <w:highlight w:val="none"/>
          <w:u w:val="single"/>
        </w:rPr>
        <w:t xml:space="preserve">     </w:t>
      </w:r>
      <w:r>
        <w:rPr>
          <w:rFonts w:hint="eastAsia" w:cs="宋体" w:asciiTheme="minorEastAsia" w:hAnsiTheme="minorEastAsia"/>
          <w:color w:val="auto"/>
          <w:sz w:val="24"/>
          <w:highlight w:val="none"/>
        </w:rPr>
        <w:t xml:space="preserve"> 、目的地：</w:t>
      </w:r>
      <w:r>
        <w:rPr>
          <w:rFonts w:hint="eastAsia" w:cs="宋体" w:asciiTheme="minorEastAsia" w:hAnsiTheme="minorEastAsia"/>
          <w:color w:val="auto"/>
          <w:sz w:val="24"/>
          <w:highlight w:val="none"/>
          <w:u w:val="single"/>
        </w:rPr>
        <w:t xml:space="preserve">  </w:t>
      </w:r>
      <w:r>
        <w:rPr>
          <w:rFonts w:hint="eastAsia" w:cs="宋体" w:asciiTheme="minorEastAsia" w:hAnsiTheme="minorEastAsia"/>
          <w:color w:val="auto"/>
          <w:sz w:val="24"/>
          <w:highlight w:val="none"/>
          <w:u w:val="single"/>
          <w:lang w:eastAsia="zh-CN"/>
        </w:rPr>
        <w:t>达仓库</w:t>
      </w:r>
      <w:r>
        <w:rPr>
          <w:rFonts w:hint="eastAsia" w:cs="宋体" w:asciiTheme="minorEastAsia" w:hAnsiTheme="minorEastAsia"/>
          <w:color w:val="auto"/>
          <w:sz w:val="24"/>
          <w:highlight w:val="none"/>
          <w:u w:val="single"/>
        </w:rPr>
        <w:t xml:space="preserve">      </w:t>
      </w:r>
    </w:p>
    <w:p>
      <w:pPr>
        <w:numPr>
          <w:ilvl w:val="0"/>
          <w:numId w:val="3"/>
        </w:numPr>
        <w:spacing w:line="360" w:lineRule="auto"/>
        <w:ind w:firstLine="480" w:firstLineChars="200"/>
        <w:outlineLvl w:val="0"/>
        <w:rPr>
          <w:rFonts w:asciiTheme="minorEastAsia" w:hAnsiTheme="minorEastAsia"/>
          <w:color w:val="auto"/>
          <w:sz w:val="24"/>
          <w:highlight w:val="none"/>
        </w:rPr>
      </w:pPr>
      <w:r>
        <w:rPr>
          <w:rFonts w:hint="eastAsia" w:cs="宋体" w:asciiTheme="minorEastAsia" w:hAnsiTheme="minorEastAsia"/>
          <w:color w:val="auto"/>
          <w:sz w:val="24"/>
          <w:highlight w:val="none"/>
        </w:rPr>
        <w:t>数量：</w:t>
      </w:r>
      <w:r>
        <w:rPr>
          <w:rFonts w:hint="eastAsia" w:cs="宋体" w:asciiTheme="minorEastAsia" w:hAnsiTheme="minorEastAsia"/>
          <w:color w:val="auto"/>
          <w:sz w:val="24"/>
          <w:highlight w:val="none"/>
          <w:u w:val="single"/>
        </w:rPr>
        <w:t xml:space="preserve">  </w:t>
      </w:r>
      <w:r>
        <w:rPr>
          <w:rFonts w:hint="eastAsia" w:cs="宋体" w:asciiTheme="minorEastAsia" w:hAnsiTheme="minorEastAsia"/>
          <w:color w:val="auto"/>
          <w:sz w:val="24"/>
          <w:highlight w:val="none"/>
          <w:u w:val="single"/>
          <w:lang w:val="en-US" w:eastAsia="zh-CN"/>
        </w:rPr>
        <w:t>吨</w:t>
      </w:r>
      <w:r>
        <w:rPr>
          <w:rFonts w:hint="eastAsia" w:cs="宋体" w:asciiTheme="minorEastAsia" w:hAnsiTheme="minorEastAsia"/>
          <w:color w:val="auto"/>
          <w:sz w:val="24"/>
          <w:highlight w:val="none"/>
          <w:u w:val="single"/>
        </w:rPr>
        <w:t xml:space="preserve">  </w:t>
      </w:r>
      <w:r>
        <w:rPr>
          <w:rFonts w:hint="eastAsia" w:cs="宋体" w:asciiTheme="minorEastAsia" w:hAnsiTheme="minorEastAsia"/>
          <w:color w:val="auto"/>
          <w:sz w:val="24"/>
          <w:highlight w:val="none"/>
        </w:rPr>
        <w:t xml:space="preserve"> （乙方保证每日运输能力需达到</w:t>
      </w:r>
      <w:r>
        <w:rPr>
          <w:rFonts w:hint="eastAsia" w:cs="宋体" w:asciiTheme="minorEastAsia" w:hAnsiTheme="minorEastAsia"/>
          <w:color w:val="auto"/>
          <w:sz w:val="24"/>
          <w:highlight w:val="none"/>
          <w:u w:val="single"/>
        </w:rPr>
        <w:t xml:space="preserve">  </w:t>
      </w:r>
      <w:r>
        <w:rPr>
          <w:rFonts w:hint="eastAsia" w:cs="宋体" w:asciiTheme="minorEastAsia" w:hAnsiTheme="minorEastAsia"/>
          <w:color w:val="auto"/>
          <w:sz w:val="24"/>
          <w:highlight w:val="none"/>
        </w:rPr>
        <w:t xml:space="preserve">吨以上，以甲方计划调配需求为准）；  </w:t>
      </w:r>
    </w:p>
    <w:p>
      <w:pPr>
        <w:numPr>
          <w:ilvl w:val="0"/>
          <w:numId w:val="3"/>
        </w:numPr>
        <w:spacing w:line="360" w:lineRule="auto"/>
        <w:ind w:firstLine="480" w:firstLineChars="200"/>
        <w:outlineLvl w:val="0"/>
        <w:rPr>
          <w:rFonts w:asciiTheme="minorEastAsia" w:hAnsiTheme="minorEastAsia"/>
          <w:color w:val="auto"/>
          <w:sz w:val="24"/>
          <w:highlight w:val="none"/>
        </w:rPr>
      </w:pPr>
      <w:r>
        <w:rPr>
          <w:rFonts w:hint="eastAsia" w:asciiTheme="minorEastAsia" w:hAnsiTheme="minorEastAsia"/>
          <w:color w:val="auto"/>
          <w:sz w:val="24"/>
          <w:highlight w:val="none"/>
        </w:rPr>
        <w:t>运输价格：</w:t>
      </w:r>
      <w:r>
        <w:rPr>
          <w:rFonts w:hint="eastAsia" w:cs="宋体" w:asciiTheme="minorEastAsia" w:hAnsiTheme="minorEastAsia"/>
          <w:color w:val="auto"/>
          <w:sz w:val="24"/>
          <w:highlight w:val="none"/>
          <w:u w:val="single"/>
        </w:rPr>
        <w:t xml:space="preserve">       </w:t>
      </w:r>
      <w:r>
        <w:rPr>
          <w:rFonts w:hint="eastAsia" w:asciiTheme="minorEastAsia" w:hAnsiTheme="minorEastAsia"/>
          <w:color w:val="auto"/>
          <w:sz w:val="24"/>
          <w:highlight w:val="none"/>
        </w:rPr>
        <w:t>（参照泛糖货运平台竞价结果）</w:t>
      </w:r>
    </w:p>
    <w:p>
      <w:pPr>
        <w:numPr>
          <w:ilvl w:val="0"/>
          <w:numId w:val="3"/>
        </w:numPr>
        <w:spacing w:line="360" w:lineRule="auto"/>
        <w:ind w:firstLine="480" w:firstLineChars="200"/>
        <w:outlineLvl w:val="0"/>
        <w:rPr>
          <w:rFonts w:asciiTheme="minorEastAsia" w:hAnsiTheme="minorEastAsia"/>
          <w:color w:val="auto"/>
          <w:sz w:val="24"/>
          <w:highlight w:val="none"/>
        </w:rPr>
      </w:pPr>
      <w:r>
        <w:rPr>
          <w:rFonts w:hint="eastAsia" w:asciiTheme="minorEastAsia" w:hAnsiTheme="minorEastAsia"/>
          <w:color w:val="auto"/>
          <w:sz w:val="24"/>
          <w:highlight w:val="none"/>
        </w:rPr>
        <w:t>运输业务保证金：</w:t>
      </w:r>
      <w:r>
        <w:rPr>
          <w:rFonts w:hint="eastAsia" w:cs="宋体" w:asciiTheme="minorEastAsia" w:hAnsiTheme="minorEastAsia"/>
          <w:color w:val="auto"/>
          <w:sz w:val="24"/>
          <w:highlight w:val="none"/>
          <w:u w:val="single"/>
        </w:rPr>
        <w:t xml:space="preserve">  </w:t>
      </w:r>
      <w:r>
        <w:rPr>
          <w:rFonts w:hint="eastAsia" w:cs="宋体" w:asciiTheme="minorEastAsia" w:hAnsiTheme="minorEastAsia"/>
          <w:color w:val="auto"/>
          <w:sz w:val="24"/>
          <w:highlight w:val="none"/>
          <w:u w:val="single"/>
          <w:lang w:val="en-US" w:eastAsia="zh-CN"/>
        </w:rPr>
        <w:t>元</w:t>
      </w:r>
      <w:r>
        <w:rPr>
          <w:rFonts w:hint="eastAsia" w:cs="宋体" w:asciiTheme="minorEastAsia" w:hAnsiTheme="minorEastAsia"/>
          <w:color w:val="auto"/>
          <w:sz w:val="24"/>
          <w:highlight w:val="none"/>
          <w:u w:val="single"/>
        </w:rPr>
        <w:t xml:space="preserve"> </w:t>
      </w:r>
      <w:r>
        <w:rPr>
          <w:rFonts w:hint="eastAsia" w:asciiTheme="minorEastAsia" w:hAnsiTheme="minorEastAsia"/>
          <w:color w:val="auto"/>
          <w:sz w:val="24"/>
          <w:highlight w:val="none"/>
        </w:rPr>
        <w:t>（参照泛糖货运平台竞价通知）</w:t>
      </w:r>
    </w:p>
    <w:p>
      <w:pPr>
        <w:numPr>
          <w:ilvl w:val="0"/>
          <w:numId w:val="3"/>
        </w:numPr>
        <w:spacing w:line="360" w:lineRule="auto"/>
        <w:ind w:firstLine="480" w:firstLineChars="200"/>
        <w:outlineLvl w:val="0"/>
        <w:rPr>
          <w:rFonts w:asciiTheme="minorEastAsia" w:hAnsiTheme="minorEastAsia"/>
          <w:color w:val="auto"/>
          <w:sz w:val="24"/>
          <w:highlight w:val="none"/>
        </w:rPr>
      </w:pPr>
      <w:r>
        <w:rPr>
          <w:rFonts w:hint="eastAsia" w:asciiTheme="minorEastAsia" w:hAnsiTheme="minorEastAsia"/>
          <w:color w:val="auto"/>
          <w:sz w:val="24"/>
          <w:highlight w:val="none"/>
        </w:rPr>
        <w:t>运输价格经竞价议定，已包含运输服务中的油费、过路费、过桥费、保险费、税金、以及运输过程中产生的全部费用。</w:t>
      </w:r>
    </w:p>
    <w:p>
      <w:pPr>
        <w:numPr>
          <w:ilvl w:val="0"/>
          <w:numId w:val="3"/>
        </w:numPr>
        <w:spacing w:line="360" w:lineRule="auto"/>
        <w:ind w:firstLine="480" w:firstLineChars="200"/>
        <w:outlineLvl w:val="0"/>
        <w:rPr>
          <w:rFonts w:asciiTheme="minorEastAsia" w:hAnsiTheme="minorEastAsia"/>
          <w:color w:val="auto"/>
          <w:sz w:val="24"/>
          <w:highlight w:val="none"/>
        </w:rPr>
      </w:pPr>
      <w:r>
        <w:rPr>
          <w:rFonts w:hint="eastAsia" w:asciiTheme="minorEastAsia" w:hAnsiTheme="minorEastAsia"/>
          <w:color w:val="auto"/>
          <w:sz w:val="24"/>
          <w:highlight w:val="none"/>
        </w:rPr>
        <w:t>关于油价调整的运输价格联动，以2020年11月柴油价格5.09元/升为基准，当中石化或中石油通告柴油提价幅度达0.5元/升（以明确通告日期为准）之时，相应在原运价的基础上运价提升1元/吨；当通告柴油涨价达1元/升，相应在原运价的基础上运价提升2元/吨，暂定封顶调整2元/吨运输价格。</w:t>
      </w:r>
    </w:p>
    <w:p>
      <w:pPr>
        <w:spacing w:line="276" w:lineRule="auto"/>
        <w:rPr>
          <w:rFonts w:hint="eastAsia" w:asciiTheme="minorEastAsia" w:hAnsiTheme="minorEastAsia" w:eastAsiaTheme="minorEastAsia"/>
          <w:color w:val="auto"/>
          <w:sz w:val="24"/>
          <w:highlight w:val="none"/>
          <w:lang w:eastAsia="zh-CN"/>
        </w:rPr>
      </w:pPr>
    </w:p>
    <w:p>
      <w:pPr>
        <w:numPr>
          <w:ilvl w:val="0"/>
          <w:numId w:val="1"/>
        </w:numPr>
        <w:spacing w:line="276" w:lineRule="auto"/>
        <w:outlineLvl w:val="0"/>
        <w:rPr>
          <w:rFonts w:asciiTheme="minorEastAsia" w:hAnsiTheme="minorEastAsia"/>
          <w:b/>
          <w:bCs/>
          <w:color w:val="auto"/>
          <w:sz w:val="24"/>
          <w:highlight w:val="none"/>
        </w:rPr>
      </w:pPr>
      <w:r>
        <w:rPr>
          <w:rFonts w:hint="eastAsia" w:asciiTheme="minorEastAsia" w:hAnsiTheme="minorEastAsia"/>
          <w:b/>
          <w:bCs/>
          <w:color w:val="auto"/>
          <w:sz w:val="24"/>
          <w:highlight w:val="none"/>
        </w:rPr>
        <w:t xml:space="preserve">服务质量要求及流程 </w:t>
      </w:r>
    </w:p>
    <w:p>
      <w:pPr>
        <w:spacing w:line="276" w:lineRule="auto"/>
        <w:outlineLvl w:val="1"/>
        <w:rPr>
          <w:rFonts w:asciiTheme="minorEastAsia" w:hAnsiTheme="minorEastAsia"/>
          <w:b/>
          <w:bCs/>
          <w:color w:val="auto"/>
          <w:sz w:val="24"/>
          <w:highlight w:val="none"/>
        </w:rPr>
      </w:pPr>
    </w:p>
    <w:p>
      <w:pPr>
        <w:numPr>
          <w:ilvl w:val="0"/>
          <w:numId w:val="4"/>
        </w:numPr>
        <w:spacing w:line="276" w:lineRule="auto"/>
        <w:ind w:firstLine="482" w:firstLineChars="200"/>
        <w:outlineLvl w:val="1"/>
        <w:rPr>
          <w:rFonts w:asciiTheme="minorEastAsia" w:hAnsiTheme="minorEastAsia"/>
          <w:b/>
          <w:bCs/>
          <w:color w:val="auto"/>
          <w:sz w:val="24"/>
          <w:highlight w:val="none"/>
        </w:rPr>
      </w:pPr>
      <w:r>
        <w:rPr>
          <w:rFonts w:hint="eastAsia" w:asciiTheme="minorEastAsia" w:hAnsiTheme="minorEastAsia"/>
          <w:b/>
          <w:bCs/>
          <w:color w:val="auto"/>
          <w:sz w:val="24"/>
          <w:highlight w:val="none"/>
        </w:rPr>
        <w:t>装运要求：</w:t>
      </w:r>
    </w:p>
    <w:p>
      <w:pPr>
        <w:spacing w:line="276" w:lineRule="auto"/>
        <w:outlineLvl w:val="1"/>
        <w:rPr>
          <w:rFonts w:asciiTheme="minorEastAsia" w:hAnsiTheme="minorEastAsia"/>
          <w:b/>
          <w:bCs/>
          <w:color w:val="auto"/>
          <w:sz w:val="24"/>
          <w:highlight w:val="none"/>
        </w:rPr>
      </w:pPr>
    </w:p>
    <w:p>
      <w:pPr>
        <w:numPr>
          <w:ilvl w:val="0"/>
          <w:numId w:val="5"/>
        </w:numPr>
        <w:spacing w:line="360" w:lineRule="auto"/>
        <w:ind w:left="420" w:leftChars="200"/>
        <w:rPr>
          <w:rFonts w:asciiTheme="minorEastAsia" w:hAnsiTheme="minorEastAsia"/>
          <w:color w:val="auto"/>
          <w:sz w:val="24"/>
          <w:highlight w:val="none"/>
        </w:rPr>
      </w:pPr>
      <w:r>
        <w:rPr>
          <w:rFonts w:hint="eastAsia" w:asciiTheme="minorEastAsia" w:hAnsiTheme="minorEastAsia"/>
          <w:color w:val="auto"/>
          <w:sz w:val="24"/>
          <w:highlight w:val="none"/>
        </w:rPr>
        <w:t>在榨季生产期间，乙方需按</w:t>
      </w:r>
      <w:r>
        <w:rPr>
          <w:rFonts w:hint="eastAsia" w:asciiTheme="minorEastAsia" w:hAnsiTheme="minorEastAsia"/>
          <w:color w:val="auto"/>
          <w:sz w:val="24"/>
          <w:highlight w:val="none"/>
          <w:lang w:eastAsia="zh-CN"/>
        </w:rPr>
        <w:t>甲方</w:t>
      </w:r>
      <w:r>
        <w:rPr>
          <w:rFonts w:hint="eastAsia" w:asciiTheme="minorEastAsia" w:hAnsiTheme="minorEastAsia"/>
          <w:color w:val="auto"/>
          <w:sz w:val="24"/>
          <w:highlight w:val="none"/>
        </w:rPr>
        <w:t>糖厂的指令（不限于糖厂口头、邮件或正式文件指令）及时调派车辆。在收到甲方提供的运输计划并确认后，物流运输商应在开始运输前至少提前一天向甲方派出充足车辆到位，待命按要求将食糖送至指定的地点。</w:t>
      </w:r>
    </w:p>
    <w:p>
      <w:pPr>
        <w:numPr>
          <w:ilvl w:val="0"/>
          <w:numId w:val="5"/>
        </w:numPr>
        <w:spacing w:line="360" w:lineRule="auto"/>
        <w:ind w:left="420" w:leftChars="200"/>
        <w:rPr>
          <w:rFonts w:asciiTheme="minorEastAsia" w:hAnsiTheme="minorEastAsia"/>
          <w:color w:val="auto"/>
          <w:sz w:val="24"/>
          <w:highlight w:val="none"/>
        </w:rPr>
      </w:pPr>
      <w:r>
        <w:rPr>
          <w:rFonts w:hint="eastAsia" w:asciiTheme="minorEastAsia" w:hAnsiTheme="minorEastAsia"/>
          <w:color w:val="auto"/>
          <w:sz w:val="24"/>
          <w:highlight w:val="none"/>
        </w:rPr>
        <w:t>乙方安排的运输工具（载具）应安全、可靠、符合相关监管机关的监管要求；确定车厢/货柜干净、整洁适合装运货物，确保无异味、漏水、外观污染等可能造成货物损失的情况；装运时必须使用塑料薄膜或彩条布等铺垫材料妥善铺垫车厢/货柜，装完车后用干净帆布将食糖完全盖好，用捆绳牢固食糖。并且由此而产生的责任均由乙方承担，与甲方无关。</w:t>
      </w:r>
    </w:p>
    <w:p>
      <w:pPr>
        <w:numPr>
          <w:ilvl w:val="0"/>
          <w:numId w:val="5"/>
        </w:numPr>
        <w:spacing w:line="360" w:lineRule="auto"/>
        <w:ind w:left="420" w:leftChars="200"/>
        <w:rPr>
          <w:rFonts w:asciiTheme="minorEastAsia" w:hAnsiTheme="minorEastAsia"/>
          <w:color w:val="auto"/>
          <w:sz w:val="24"/>
          <w:highlight w:val="none"/>
        </w:rPr>
      </w:pPr>
      <w:r>
        <w:rPr>
          <w:rFonts w:hint="eastAsia" w:asciiTheme="minorEastAsia" w:hAnsiTheme="minorEastAsia"/>
          <w:color w:val="auto"/>
          <w:sz w:val="24"/>
          <w:highlight w:val="none"/>
        </w:rPr>
        <w:t>遵守制度：乙方及乙方指定的工作人员必须严格遵守甲方及甲方关联公司的规章制度。在装货、卸货、交货时应遵守甲方及甲方关联公司厂区、仓库内的相关安保制度及工作条例。</w:t>
      </w:r>
    </w:p>
    <w:p>
      <w:pPr>
        <w:numPr>
          <w:ilvl w:val="0"/>
          <w:numId w:val="5"/>
        </w:numPr>
        <w:spacing w:line="360" w:lineRule="auto"/>
        <w:ind w:left="420" w:leftChars="200"/>
        <w:rPr>
          <w:rFonts w:asciiTheme="minorEastAsia" w:hAnsiTheme="minorEastAsia"/>
          <w:color w:val="auto"/>
          <w:sz w:val="24"/>
          <w:highlight w:val="none"/>
        </w:rPr>
      </w:pPr>
      <w:r>
        <w:rPr>
          <w:rFonts w:hint="eastAsia" w:asciiTheme="minorEastAsia" w:hAnsiTheme="minorEastAsia"/>
          <w:color w:val="auto"/>
          <w:sz w:val="24"/>
          <w:highlight w:val="none"/>
        </w:rPr>
        <w:t>装货：乙方应安排提货人员及运力资源按甲方要求的时间、地点安排装运。并初步审查食糖包装、数量符合装运要求，若货物情况与运输业务信息不符，应第一时间通知甲方并与甲方沟通解决办法。装货数量以装货时的货物收据为准，货物收据应由乙方安排的提货人员会签并盖章确认。乙方自装货起承担货物的安全保管和运输责任，装车时，如对所装食糖数量有异议，可现场翻包重新清点；如数量无异，翻包所发生的一切费用由运输服务商的现场理货人或司机当场支付给翻包工人；如数量有异，甲方应补足或减少食糖数量，翻包所发生的一切费用由糖厂支付。甲方及甲方指定的监督人员有权对在一方运输工具装运货物进行抽样检验。</w:t>
      </w:r>
    </w:p>
    <w:p>
      <w:pPr>
        <w:numPr>
          <w:ilvl w:val="0"/>
          <w:numId w:val="5"/>
        </w:numPr>
        <w:spacing w:line="360" w:lineRule="auto"/>
        <w:ind w:left="420"/>
        <w:rPr>
          <w:rFonts w:asciiTheme="minorEastAsia" w:hAnsiTheme="minorEastAsia"/>
          <w:color w:val="auto"/>
          <w:sz w:val="24"/>
          <w:highlight w:val="none"/>
        </w:rPr>
      </w:pPr>
      <w:r>
        <w:rPr>
          <w:rFonts w:hint="eastAsia" w:cs="宋体" w:asciiTheme="minorEastAsia" w:hAnsiTheme="minorEastAsia"/>
          <w:bCs/>
          <w:color w:val="auto"/>
          <w:sz w:val="24"/>
          <w:highlight w:val="none"/>
        </w:rPr>
        <w:t>乙方必须严格</w:t>
      </w:r>
      <w:r>
        <w:rPr>
          <w:rFonts w:hint="eastAsia" w:cs="宋体" w:asciiTheme="minorEastAsia" w:hAnsiTheme="minorEastAsia"/>
          <w:color w:val="auto"/>
          <w:sz w:val="24"/>
          <w:highlight w:val="none"/>
          <w:shd w:val="clear" w:color="auto" w:fill="FFFFFF"/>
        </w:rPr>
        <w:t>按照2016年9月21日交通运输部联合多部委发布的《关于进一步做好货车非法改装和超限超载治理工作的意见》和《超限运输车辆行驶公路管理规定》</w:t>
      </w:r>
      <w:r>
        <w:rPr>
          <w:rFonts w:hint="eastAsia" w:cs="宋体" w:asciiTheme="minorEastAsia" w:hAnsiTheme="minorEastAsia"/>
          <w:color w:val="auto"/>
          <w:sz w:val="24"/>
          <w:highlight w:val="none"/>
        </w:rPr>
        <w:t>执行，不得超载。如违反国家相关规定被依法查处的，乙方除承担供货方和收货方的所有经济处罚外，并承担由此造成甲方的所有损失。</w:t>
      </w:r>
    </w:p>
    <w:p>
      <w:pPr>
        <w:numPr>
          <w:ilvl w:val="0"/>
          <w:numId w:val="5"/>
        </w:numPr>
        <w:spacing w:line="360" w:lineRule="auto"/>
        <w:ind w:left="420"/>
        <w:rPr>
          <w:rFonts w:asciiTheme="minorEastAsia" w:hAnsiTheme="minorEastAsia"/>
          <w:color w:val="auto"/>
          <w:sz w:val="24"/>
          <w:highlight w:val="none"/>
        </w:rPr>
      </w:pPr>
      <w:r>
        <w:rPr>
          <w:rFonts w:hint="eastAsia" w:asciiTheme="minorEastAsia" w:hAnsiTheme="minorEastAsia"/>
          <w:color w:val="auto"/>
          <w:sz w:val="24"/>
          <w:highlight w:val="none"/>
          <w:lang w:val="en-US" w:eastAsia="zh-CN"/>
        </w:rPr>
        <w:t>其他补充说明</w:t>
      </w:r>
      <w:r>
        <w:rPr>
          <w:rFonts w:hint="eastAsia" w:asciiTheme="minorEastAsia" w:hAnsiTheme="minorEastAsia"/>
          <w:color w:val="auto"/>
          <w:sz w:val="24"/>
          <w:highlight w:val="none"/>
          <w:lang w:eastAsia="zh-CN"/>
        </w:rPr>
        <w:t>：要求平板车，运输车辆和驾驶员必须办齐合法有效的证件(身份证、驾驶证、行驶证、营运证、车辆保险等)，并将全部合法有效的复印件交甲方备案，如用栏杆车装卸造成的破包和增加装卸难度产生的装卸费用由乙方负责。</w:t>
      </w:r>
    </w:p>
    <w:p>
      <w:pPr>
        <w:spacing w:line="360" w:lineRule="auto"/>
        <w:rPr>
          <w:rFonts w:asciiTheme="minorEastAsia" w:hAnsiTheme="minorEastAsia"/>
          <w:color w:val="auto"/>
          <w:sz w:val="24"/>
          <w:highlight w:val="none"/>
        </w:rPr>
      </w:pPr>
    </w:p>
    <w:p>
      <w:pPr>
        <w:numPr>
          <w:ilvl w:val="0"/>
          <w:numId w:val="4"/>
        </w:numPr>
        <w:spacing w:line="276" w:lineRule="auto"/>
        <w:ind w:firstLine="482" w:firstLineChars="200"/>
        <w:outlineLvl w:val="1"/>
        <w:rPr>
          <w:rFonts w:asciiTheme="minorEastAsia" w:hAnsiTheme="minorEastAsia"/>
          <w:color w:val="auto"/>
          <w:sz w:val="24"/>
          <w:highlight w:val="none"/>
        </w:rPr>
      </w:pPr>
      <w:r>
        <w:rPr>
          <w:rFonts w:hint="eastAsia" w:asciiTheme="minorEastAsia" w:hAnsiTheme="minorEastAsia"/>
          <w:b/>
          <w:bCs/>
          <w:color w:val="auto"/>
          <w:sz w:val="24"/>
          <w:highlight w:val="none"/>
        </w:rPr>
        <w:t>运输要求：</w:t>
      </w:r>
    </w:p>
    <w:p>
      <w:pPr>
        <w:spacing w:line="360" w:lineRule="auto"/>
        <w:outlineLvl w:val="1"/>
        <w:rPr>
          <w:rFonts w:asciiTheme="minorEastAsia" w:hAnsiTheme="minorEastAsia"/>
          <w:color w:val="auto"/>
          <w:sz w:val="24"/>
          <w:highlight w:val="none"/>
        </w:rPr>
      </w:pPr>
    </w:p>
    <w:p>
      <w:pPr>
        <w:numPr>
          <w:ilvl w:val="0"/>
          <w:numId w:val="6"/>
        </w:numPr>
        <w:spacing w:line="360" w:lineRule="auto"/>
        <w:ind w:left="420" w:leftChars="200"/>
        <w:rPr>
          <w:rFonts w:asciiTheme="minorEastAsia" w:hAnsiTheme="minorEastAsia"/>
          <w:color w:val="auto"/>
          <w:sz w:val="24"/>
          <w:highlight w:val="none"/>
        </w:rPr>
      </w:pPr>
      <w:r>
        <w:rPr>
          <w:rFonts w:hint="eastAsia" w:asciiTheme="minorEastAsia" w:hAnsiTheme="minorEastAsia"/>
          <w:color w:val="auto"/>
          <w:sz w:val="24"/>
          <w:highlight w:val="none"/>
        </w:rPr>
        <w:t>乙方确保所承运货物的安全，如在运输过程中出现货损（火损、被盗、雨淋、受潮、灭失、车祸等等异常情况），乙方应及时通知甲方，最晚不得超过壹拾贰（12）小时。乙方应采取一切合理及谨慎的措施防止损失扩大，并积极配合甲方及甲方代理妥善处理货损事宜，并在次日出具时间处理方案，由此产生的损失全部由乙方负责。</w:t>
      </w:r>
    </w:p>
    <w:p>
      <w:pPr>
        <w:numPr>
          <w:ilvl w:val="0"/>
          <w:numId w:val="6"/>
        </w:numPr>
        <w:spacing w:line="360" w:lineRule="auto"/>
        <w:ind w:left="420" w:leftChars="200"/>
        <w:rPr>
          <w:rFonts w:asciiTheme="minorEastAsia" w:hAnsiTheme="minorEastAsia"/>
          <w:color w:val="auto"/>
          <w:sz w:val="24"/>
          <w:highlight w:val="none"/>
        </w:rPr>
      </w:pPr>
      <w:r>
        <w:rPr>
          <w:rFonts w:hint="eastAsia" w:asciiTheme="minorEastAsia" w:hAnsiTheme="minorEastAsia"/>
          <w:color w:val="auto"/>
          <w:sz w:val="24"/>
          <w:highlight w:val="none"/>
        </w:rPr>
        <w:t>乙方司机、车辆或工作人员，造成人员伤亡或财产毁损的（如因司机驾驶不慎撞到墙及设备或人为造成的损失等）由乙方承担全部的法律责任及赔偿责任， 在下达书面通知书后，甲方有权从运费或履约保证金中扣除赔偿金。</w:t>
      </w:r>
    </w:p>
    <w:p>
      <w:pPr>
        <w:numPr>
          <w:ilvl w:val="0"/>
          <w:numId w:val="6"/>
        </w:numPr>
        <w:spacing w:line="360" w:lineRule="auto"/>
        <w:ind w:left="420" w:leftChars="200"/>
        <w:rPr>
          <w:rFonts w:asciiTheme="minorEastAsia" w:hAnsiTheme="minorEastAsia"/>
          <w:color w:val="auto"/>
          <w:sz w:val="24"/>
          <w:highlight w:val="none"/>
        </w:rPr>
      </w:pPr>
      <w:r>
        <w:rPr>
          <w:rFonts w:hint="eastAsia" w:asciiTheme="minorEastAsia" w:hAnsiTheme="minorEastAsia"/>
          <w:color w:val="auto"/>
          <w:sz w:val="24"/>
          <w:highlight w:val="none"/>
        </w:rPr>
        <w:t>乙方在运输业务中遇到任何情况导致不能按时将货物交付到甲方指定的收货人手中，应立即通知甲方及甲方指定的收货人。因通知不当造成的损失，乙方承担全部责任。</w:t>
      </w:r>
    </w:p>
    <w:p>
      <w:pPr>
        <w:numPr>
          <w:ilvl w:val="0"/>
          <w:numId w:val="6"/>
        </w:numPr>
        <w:spacing w:line="360" w:lineRule="auto"/>
        <w:ind w:left="420" w:leftChars="200"/>
        <w:rPr>
          <w:rFonts w:asciiTheme="minorEastAsia" w:hAnsiTheme="minorEastAsia"/>
          <w:color w:val="auto"/>
          <w:sz w:val="24"/>
          <w:highlight w:val="none"/>
        </w:rPr>
      </w:pPr>
      <w:r>
        <w:rPr>
          <w:rFonts w:hint="eastAsia" w:asciiTheme="minorEastAsia" w:hAnsiTheme="minorEastAsia"/>
          <w:color w:val="auto"/>
          <w:sz w:val="24"/>
          <w:highlight w:val="none"/>
        </w:rPr>
        <w:t>乙方须对承运的货物购买货物运输保险，乙方承诺对所承运的甲方委托货物均已购买运输保险。如因乙方未按要求购买货运输保险，在途货物出险的，由此情况造成的甲方损失均由乙方承担。</w:t>
      </w:r>
    </w:p>
    <w:p>
      <w:pPr>
        <w:numPr>
          <w:ilvl w:val="0"/>
          <w:numId w:val="6"/>
        </w:numPr>
        <w:spacing w:line="360" w:lineRule="auto"/>
        <w:ind w:left="420" w:leftChars="200"/>
        <w:rPr>
          <w:rFonts w:asciiTheme="minorEastAsia" w:hAnsiTheme="minorEastAsia"/>
          <w:color w:val="auto"/>
          <w:sz w:val="24"/>
          <w:highlight w:val="none"/>
        </w:rPr>
      </w:pPr>
      <w:r>
        <w:rPr>
          <w:rFonts w:hint="eastAsia" w:asciiTheme="minorEastAsia" w:hAnsiTheme="minorEastAsia"/>
          <w:color w:val="auto"/>
          <w:sz w:val="24"/>
          <w:highlight w:val="none"/>
        </w:rPr>
        <w:t>在任何情况下，当甲方书面或电话（需后续补充书面文件或电子邮件）指示乙方暂缓或停止货物运输或交付时，乙方应立即按甲方指令示行事。如乙方违反本条规定造成甲方损失的，乙方应承担赔偿责任。</w:t>
      </w:r>
    </w:p>
    <w:p>
      <w:pPr>
        <w:numPr>
          <w:ilvl w:val="0"/>
          <w:numId w:val="6"/>
        </w:numPr>
        <w:spacing w:line="360" w:lineRule="auto"/>
        <w:ind w:left="420" w:leftChars="200"/>
        <w:rPr>
          <w:rFonts w:asciiTheme="minorEastAsia" w:hAnsiTheme="minorEastAsia"/>
          <w:color w:val="auto"/>
          <w:sz w:val="24"/>
          <w:highlight w:val="none"/>
        </w:rPr>
      </w:pPr>
      <w:r>
        <w:rPr>
          <w:rFonts w:hint="eastAsia" w:asciiTheme="minorEastAsia" w:hAnsiTheme="minorEastAsia"/>
          <w:color w:val="auto"/>
          <w:sz w:val="24"/>
          <w:highlight w:val="none"/>
        </w:rPr>
        <w:t>运输延误：乙方未在订单中载明的时间内将货物送达指定交付地点的，甲方有权要求乙方继续履行送货义务，如乙方未能按要求履行送货业务的，甲方有权选择其它公司完成该次运输，乙方应承担由此导致的甲方全部损失。</w:t>
      </w:r>
    </w:p>
    <w:p>
      <w:pPr>
        <w:spacing w:line="276" w:lineRule="auto"/>
        <w:rPr>
          <w:rFonts w:asciiTheme="minorEastAsia" w:hAnsiTheme="minorEastAsia"/>
          <w:color w:val="auto"/>
          <w:sz w:val="24"/>
          <w:highlight w:val="none"/>
        </w:rPr>
      </w:pPr>
    </w:p>
    <w:p>
      <w:pPr>
        <w:numPr>
          <w:ilvl w:val="0"/>
          <w:numId w:val="4"/>
        </w:numPr>
        <w:spacing w:line="276" w:lineRule="auto"/>
        <w:ind w:firstLine="482" w:firstLineChars="200"/>
        <w:outlineLvl w:val="1"/>
        <w:rPr>
          <w:rFonts w:asciiTheme="minorEastAsia" w:hAnsiTheme="minorEastAsia"/>
          <w:color w:val="auto"/>
          <w:sz w:val="24"/>
          <w:highlight w:val="none"/>
        </w:rPr>
      </w:pPr>
      <w:r>
        <w:rPr>
          <w:rFonts w:hint="eastAsia" w:asciiTheme="minorEastAsia" w:hAnsiTheme="minorEastAsia"/>
          <w:b/>
          <w:bCs/>
          <w:color w:val="auto"/>
          <w:sz w:val="24"/>
          <w:highlight w:val="none"/>
        </w:rPr>
        <w:t>货物交付：</w:t>
      </w:r>
    </w:p>
    <w:p>
      <w:pPr>
        <w:spacing w:line="360" w:lineRule="auto"/>
        <w:outlineLvl w:val="1"/>
        <w:rPr>
          <w:rFonts w:asciiTheme="minorEastAsia" w:hAnsiTheme="minorEastAsia"/>
          <w:color w:val="auto"/>
          <w:sz w:val="24"/>
          <w:highlight w:val="none"/>
        </w:rPr>
      </w:pPr>
    </w:p>
    <w:p>
      <w:pPr>
        <w:numPr>
          <w:ilvl w:val="0"/>
          <w:numId w:val="7"/>
        </w:numPr>
        <w:spacing w:line="360" w:lineRule="auto"/>
        <w:ind w:left="420" w:leftChars="200"/>
        <w:rPr>
          <w:rFonts w:asciiTheme="minorEastAsia" w:hAnsiTheme="minorEastAsia"/>
          <w:color w:val="auto"/>
          <w:sz w:val="24"/>
          <w:highlight w:val="none"/>
        </w:rPr>
      </w:pPr>
      <w:r>
        <w:rPr>
          <w:rFonts w:hint="eastAsia" w:asciiTheme="minorEastAsia" w:hAnsiTheme="minorEastAsia"/>
          <w:color w:val="auto"/>
          <w:sz w:val="24"/>
          <w:highlight w:val="none"/>
        </w:rPr>
        <w:t>在货物送达甲方指定的交付地点时，乙方应核实收货人身份，配合收货人或甲方指定人员完成货物数量、外包质量的查验工作。</w:t>
      </w:r>
    </w:p>
    <w:p>
      <w:pPr>
        <w:numPr>
          <w:ilvl w:val="0"/>
          <w:numId w:val="7"/>
        </w:numPr>
        <w:spacing w:line="360" w:lineRule="auto"/>
        <w:ind w:left="420" w:leftChars="200"/>
        <w:rPr>
          <w:rFonts w:asciiTheme="minorEastAsia" w:hAnsiTheme="minorEastAsia"/>
          <w:color w:val="auto"/>
          <w:sz w:val="24"/>
          <w:highlight w:val="none"/>
        </w:rPr>
      </w:pPr>
      <w:r>
        <w:rPr>
          <w:rFonts w:hint="eastAsia" w:asciiTheme="minorEastAsia" w:hAnsiTheme="minorEastAsia"/>
          <w:color w:val="auto"/>
          <w:sz w:val="24"/>
          <w:highlight w:val="none"/>
        </w:rPr>
        <w:t>若甲方指定收货人未在交付地点计划收取货物，乙方应立即与甲方沟通并妥善保管货物。</w:t>
      </w:r>
    </w:p>
    <w:p>
      <w:pPr>
        <w:numPr>
          <w:ilvl w:val="0"/>
          <w:numId w:val="7"/>
        </w:numPr>
        <w:spacing w:line="360" w:lineRule="auto"/>
        <w:ind w:left="420" w:leftChars="200"/>
        <w:rPr>
          <w:rFonts w:asciiTheme="minorEastAsia" w:hAnsiTheme="minorEastAsia"/>
          <w:color w:val="auto"/>
          <w:sz w:val="24"/>
          <w:highlight w:val="none"/>
        </w:rPr>
      </w:pPr>
      <w:r>
        <w:rPr>
          <w:rFonts w:hint="eastAsia" w:asciiTheme="minorEastAsia" w:hAnsiTheme="minorEastAsia"/>
          <w:color w:val="auto"/>
          <w:sz w:val="24"/>
          <w:highlight w:val="none"/>
        </w:rPr>
        <w:t>卸货完毕，乙方派遣的司机必须让收货人在送货单据上就交付的货物种类、数量、质量、包装外观情况、交付签收时间等进行签字盖章，并将一份交收收货方保管，且在交货后3日内通过传真或电子邮件回传甲方。</w:t>
      </w:r>
    </w:p>
    <w:p>
      <w:pPr>
        <w:numPr>
          <w:ilvl w:val="0"/>
          <w:numId w:val="7"/>
        </w:numPr>
        <w:spacing w:line="360" w:lineRule="auto"/>
        <w:ind w:left="420" w:leftChars="200"/>
        <w:rPr>
          <w:rFonts w:asciiTheme="minorEastAsia" w:hAnsiTheme="minorEastAsia"/>
          <w:color w:val="auto"/>
          <w:sz w:val="24"/>
          <w:highlight w:val="none"/>
        </w:rPr>
      </w:pPr>
      <w:r>
        <w:rPr>
          <w:rFonts w:hint="eastAsia" w:asciiTheme="minorEastAsia" w:hAnsiTheme="minorEastAsia"/>
          <w:color w:val="auto"/>
          <w:sz w:val="24"/>
          <w:highlight w:val="none"/>
        </w:rPr>
        <w:t>货物在出厂前司机和理货对运输食糖已清点完毕，对货物的数量确认无误，如出厂后发现短包或少包的由司机或运输商负责。</w:t>
      </w:r>
    </w:p>
    <w:p>
      <w:pPr>
        <w:spacing w:line="276" w:lineRule="auto"/>
        <w:rPr>
          <w:rFonts w:hint="eastAsia" w:asciiTheme="minorEastAsia" w:hAnsiTheme="minorEastAsia"/>
          <w:color w:val="auto"/>
          <w:sz w:val="24"/>
          <w:highlight w:val="none"/>
        </w:rPr>
      </w:pPr>
    </w:p>
    <w:p>
      <w:pPr>
        <w:numPr>
          <w:ilvl w:val="0"/>
          <w:numId w:val="4"/>
        </w:numPr>
        <w:spacing w:line="276" w:lineRule="auto"/>
        <w:ind w:firstLine="482" w:firstLineChars="200"/>
        <w:outlineLvl w:val="1"/>
        <w:rPr>
          <w:rFonts w:asciiTheme="minorEastAsia" w:hAnsiTheme="minorEastAsia"/>
          <w:color w:val="auto"/>
          <w:sz w:val="24"/>
          <w:highlight w:val="none"/>
        </w:rPr>
      </w:pPr>
      <w:r>
        <w:rPr>
          <w:rFonts w:hint="eastAsia" w:asciiTheme="minorEastAsia" w:hAnsiTheme="minorEastAsia"/>
          <w:b/>
          <w:bCs/>
          <w:color w:val="auto"/>
          <w:sz w:val="24"/>
          <w:highlight w:val="none"/>
        </w:rPr>
        <w:t>信息反馈：</w:t>
      </w:r>
    </w:p>
    <w:p>
      <w:pPr>
        <w:spacing w:line="276" w:lineRule="auto"/>
        <w:outlineLvl w:val="1"/>
        <w:rPr>
          <w:rFonts w:asciiTheme="minorEastAsia" w:hAnsiTheme="minorEastAsia"/>
          <w:color w:val="auto"/>
          <w:sz w:val="24"/>
          <w:highlight w:val="none"/>
        </w:rPr>
      </w:pPr>
    </w:p>
    <w:p>
      <w:pPr>
        <w:numPr>
          <w:ilvl w:val="0"/>
          <w:numId w:val="8"/>
        </w:numPr>
        <w:spacing w:line="360" w:lineRule="auto"/>
        <w:ind w:left="420" w:leftChars="200"/>
        <w:rPr>
          <w:rFonts w:asciiTheme="minorEastAsia" w:hAnsiTheme="minorEastAsia"/>
          <w:color w:val="auto"/>
          <w:sz w:val="24"/>
          <w:highlight w:val="none"/>
        </w:rPr>
      </w:pPr>
      <w:r>
        <w:rPr>
          <w:rFonts w:hint="eastAsia" w:asciiTheme="minorEastAsia" w:hAnsiTheme="minorEastAsia"/>
          <w:color w:val="auto"/>
          <w:sz w:val="24"/>
          <w:highlight w:val="none"/>
        </w:rPr>
        <w:t>乙方及乙方作业人员，应保证每日通讯通常，并应随时收取甲方的指示和货物信息并及时反馈。乙方承担由于未能及时接收或反馈甲方的指示所造成的一切损失或第三者责任。</w:t>
      </w:r>
    </w:p>
    <w:p>
      <w:pPr>
        <w:spacing w:line="276" w:lineRule="auto"/>
        <w:rPr>
          <w:rFonts w:asciiTheme="minorEastAsia" w:hAnsiTheme="minorEastAsia"/>
          <w:color w:val="auto"/>
          <w:sz w:val="24"/>
          <w:highlight w:val="none"/>
        </w:rPr>
      </w:pPr>
    </w:p>
    <w:p>
      <w:pPr>
        <w:numPr>
          <w:ilvl w:val="0"/>
          <w:numId w:val="1"/>
        </w:numPr>
        <w:spacing w:line="276" w:lineRule="auto"/>
        <w:outlineLvl w:val="0"/>
        <w:rPr>
          <w:rFonts w:asciiTheme="minorEastAsia" w:hAnsiTheme="minorEastAsia"/>
          <w:b/>
          <w:bCs/>
          <w:color w:val="auto"/>
          <w:sz w:val="24"/>
          <w:highlight w:val="none"/>
        </w:rPr>
      </w:pPr>
      <w:r>
        <w:rPr>
          <w:rFonts w:hint="eastAsia" w:asciiTheme="minorEastAsia" w:hAnsiTheme="minorEastAsia"/>
          <w:b/>
          <w:bCs/>
          <w:color w:val="auto"/>
          <w:sz w:val="24"/>
          <w:highlight w:val="none"/>
        </w:rPr>
        <w:t>通知条款</w:t>
      </w:r>
    </w:p>
    <w:p>
      <w:pPr>
        <w:widowControl/>
        <w:snapToGrid w:val="0"/>
        <w:spacing w:line="360" w:lineRule="auto"/>
        <w:ind w:firstLine="490"/>
        <w:jc w:val="left"/>
        <w:rPr>
          <w:rFonts w:asciiTheme="minorEastAsia" w:hAnsiTheme="minorEastAsia"/>
          <w:color w:val="auto"/>
          <w:sz w:val="24"/>
          <w:highlight w:val="none"/>
        </w:rPr>
      </w:pPr>
      <w:r>
        <w:rPr>
          <w:rFonts w:hint="eastAsia" w:asciiTheme="minorEastAsia" w:hAnsiTheme="minorEastAsia"/>
          <w:color w:val="auto"/>
          <w:sz w:val="24"/>
          <w:highlight w:val="none"/>
        </w:rPr>
        <w:t>本协议履行过程中的包括但不限于通知、文件的送达均由双方留下的以下联系方式为准，一旦按下列所留的任一方式通知对方，即视为送达到对方，对方对通知的内容已知悉：</w:t>
      </w:r>
    </w:p>
    <w:p>
      <w:pPr>
        <w:widowControl/>
        <w:numPr>
          <w:ilvl w:val="0"/>
          <w:numId w:val="9"/>
        </w:numPr>
        <w:snapToGrid w:val="0"/>
        <w:spacing w:line="360" w:lineRule="auto"/>
        <w:ind w:firstLine="480" w:firstLineChars="200"/>
        <w:jc w:val="left"/>
        <w:outlineLvl w:val="1"/>
        <w:rPr>
          <w:rFonts w:asciiTheme="minorEastAsia" w:hAnsiTheme="minorEastAsia"/>
          <w:color w:val="auto"/>
          <w:sz w:val="24"/>
          <w:highlight w:val="none"/>
        </w:rPr>
      </w:pPr>
      <w:r>
        <w:rPr>
          <w:rFonts w:hint="eastAsia" w:asciiTheme="minorEastAsia" w:hAnsiTheme="minorEastAsia"/>
          <w:color w:val="auto"/>
          <w:sz w:val="24"/>
          <w:highlight w:val="none"/>
        </w:rPr>
        <w:t>甲方联系方式</w:t>
      </w:r>
    </w:p>
    <w:p>
      <w:pPr>
        <w:widowControl/>
        <w:snapToGrid w:val="0"/>
        <w:spacing w:line="360" w:lineRule="auto"/>
        <w:ind w:firstLine="490"/>
        <w:jc w:val="left"/>
        <w:rPr>
          <w:rFonts w:asciiTheme="minorEastAsia" w:hAnsiTheme="minorEastAsia"/>
          <w:color w:val="auto"/>
          <w:sz w:val="24"/>
          <w:highlight w:val="none"/>
        </w:rPr>
      </w:pPr>
      <w:r>
        <w:rPr>
          <w:rFonts w:hint="eastAsia" w:asciiTheme="minorEastAsia" w:hAnsiTheme="minorEastAsia"/>
          <w:color w:val="auto"/>
          <w:sz w:val="24"/>
          <w:highlight w:val="none"/>
        </w:rPr>
        <w:t xml:space="preserve">业务联系人：  </w:t>
      </w:r>
      <w:r>
        <w:rPr>
          <w:rFonts w:asciiTheme="minorEastAsia" w:hAnsiTheme="minorEastAsia"/>
          <w:color w:val="auto"/>
          <w:sz w:val="24"/>
          <w:highlight w:val="none"/>
        </w:rPr>
        <w:t xml:space="preserve">           </w:t>
      </w:r>
      <w:r>
        <w:rPr>
          <w:rFonts w:hint="eastAsia" w:asciiTheme="minorEastAsia" w:hAnsiTheme="minorEastAsia"/>
          <w:color w:val="auto"/>
          <w:sz w:val="24"/>
          <w:highlight w:val="none"/>
        </w:rPr>
        <w:t xml:space="preserve">      </w:t>
      </w:r>
    </w:p>
    <w:p>
      <w:pPr>
        <w:widowControl/>
        <w:snapToGrid w:val="0"/>
        <w:spacing w:line="360" w:lineRule="auto"/>
        <w:ind w:firstLine="490"/>
        <w:jc w:val="left"/>
        <w:rPr>
          <w:rFonts w:asciiTheme="minorEastAsia" w:hAnsiTheme="minorEastAsia"/>
          <w:color w:val="auto"/>
          <w:sz w:val="24"/>
          <w:highlight w:val="none"/>
        </w:rPr>
      </w:pPr>
      <w:r>
        <w:rPr>
          <w:rFonts w:hint="eastAsia" w:asciiTheme="minorEastAsia" w:hAnsiTheme="minorEastAsia"/>
          <w:color w:val="auto"/>
          <w:sz w:val="24"/>
          <w:highlight w:val="none"/>
        </w:rPr>
        <w:t>手机</w:t>
      </w:r>
      <w:r>
        <w:rPr>
          <w:rFonts w:hint="eastAsia" w:asciiTheme="minorEastAsia" w:hAnsiTheme="minorEastAsia"/>
          <w:color w:val="auto"/>
          <w:sz w:val="24"/>
          <w:highlight w:val="none"/>
          <w:lang w:eastAsia="zh-CN"/>
        </w:rPr>
        <w:t>号码</w:t>
      </w:r>
      <w:r>
        <w:rPr>
          <w:rFonts w:hint="eastAsia" w:asciiTheme="minorEastAsia" w:hAnsiTheme="minorEastAsia"/>
          <w:color w:val="auto"/>
          <w:sz w:val="24"/>
          <w:highlight w:val="none"/>
        </w:rPr>
        <w:t xml:space="preserve">：            </w:t>
      </w:r>
      <w:r>
        <w:rPr>
          <w:rFonts w:asciiTheme="minorEastAsia" w:hAnsiTheme="minorEastAsia"/>
          <w:color w:val="auto"/>
          <w:sz w:val="24"/>
          <w:highlight w:val="none"/>
        </w:rPr>
        <w:t xml:space="preserve">   </w:t>
      </w:r>
      <w:r>
        <w:rPr>
          <w:rFonts w:hint="eastAsia" w:asciiTheme="minorEastAsia" w:hAnsiTheme="minorEastAsia"/>
          <w:color w:val="auto"/>
          <w:sz w:val="24"/>
          <w:highlight w:val="none"/>
        </w:rPr>
        <w:t xml:space="preserve">       </w:t>
      </w:r>
    </w:p>
    <w:p>
      <w:pPr>
        <w:widowControl/>
        <w:snapToGrid w:val="0"/>
        <w:spacing w:line="360" w:lineRule="auto"/>
        <w:ind w:firstLine="490"/>
        <w:jc w:val="left"/>
        <w:rPr>
          <w:rFonts w:asciiTheme="minorEastAsia" w:hAnsiTheme="minorEastAsia"/>
          <w:color w:val="auto"/>
          <w:sz w:val="24"/>
          <w:highlight w:val="none"/>
        </w:rPr>
      </w:pPr>
      <w:r>
        <w:rPr>
          <w:rFonts w:hint="eastAsia" w:asciiTheme="minorEastAsia" w:hAnsiTheme="minorEastAsia"/>
          <w:color w:val="auto"/>
          <w:sz w:val="24"/>
          <w:highlight w:val="none"/>
        </w:rPr>
        <w:t xml:space="preserve">电子邮件：                  </w:t>
      </w:r>
      <w:r>
        <w:rPr>
          <w:rFonts w:asciiTheme="minorEastAsia" w:hAnsiTheme="minorEastAsia"/>
          <w:color w:val="auto"/>
          <w:sz w:val="24"/>
          <w:highlight w:val="none"/>
        </w:rPr>
        <w:t xml:space="preserve"> </w:t>
      </w:r>
      <w:r>
        <w:rPr>
          <w:rFonts w:hint="eastAsia" w:asciiTheme="minorEastAsia" w:hAnsiTheme="minorEastAsia"/>
          <w:color w:val="auto"/>
          <w:sz w:val="24"/>
          <w:highlight w:val="none"/>
        </w:rPr>
        <w:t xml:space="preserve">       </w:t>
      </w:r>
    </w:p>
    <w:p>
      <w:pPr>
        <w:widowControl/>
        <w:snapToGrid w:val="0"/>
        <w:spacing w:line="360" w:lineRule="auto"/>
        <w:ind w:firstLine="490"/>
        <w:jc w:val="left"/>
        <w:rPr>
          <w:rFonts w:asciiTheme="minorEastAsia" w:hAnsiTheme="minorEastAsia"/>
          <w:color w:val="auto"/>
          <w:sz w:val="24"/>
          <w:highlight w:val="none"/>
        </w:rPr>
      </w:pPr>
      <w:r>
        <w:rPr>
          <w:rFonts w:hint="eastAsia" w:asciiTheme="minorEastAsia" w:hAnsiTheme="minorEastAsia"/>
          <w:color w:val="auto"/>
          <w:sz w:val="24"/>
          <w:highlight w:val="none"/>
        </w:rPr>
        <w:t xml:space="preserve">收件地址：                  </w:t>
      </w:r>
    </w:p>
    <w:p>
      <w:pPr>
        <w:widowControl/>
        <w:numPr>
          <w:ilvl w:val="0"/>
          <w:numId w:val="9"/>
        </w:numPr>
        <w:snapToGrid w:val="0"/>
        <w:spacing w:line="360" w:lineRule="auto"/>
        <w:ind w:firstLine="480" w:firstLineChars="200"/>
        <w:jc w:val="left"/>
        <w:outlineLvl w:val="1"/>
        <w:rPr>
          <w:rFonts w:asciiTheme="minorEastAsia" w:hAnsiTheme="minorEastAsia"/>
          <w:color w:val="auto"/>
          <w:sz w:val="24"/>
          <w:highlight w:val="none"/>
        </w:rPr>
      </w:pPr>
      <w:r>
        <w:rPr>
          <w:rFonts w:hint="eastAsia" w:asciiTheme="minorEastAsia" w:hAnsiTheme="minorEastAsia"/>
          <w:color w:val="auto"/>
          <w:sz w:val="24"/>
          <w:highlight w:val="none"/>
        </w:rPr>
        <w:t>乙方联系方式</w:t>
      </w:r>
    </w:p>
    <w:p>
      <w:pPr>
        <w:widowControl/>
        <w:snapToGrid w:val="0"/>
        <w:spacing w:line="360" w:lineRule="auto"/>
        <w:ind w:firstLine="490"/>
        <w:jc w:val="left"/>
        <w:rPr>
          <w:rFonts w:hint="eastAsia" w:asciiTheme="minorEastAsia" w:hAnsiTheme="minorEastAsia" w:eastAsiaTheme="minorEastAsia"/>
          <w:color w:val="auto"/>
          <w:sz w:val="24"/>
          <w:highlight w:val="none"/>
          <w:u w:val="single"/>
          <w:lang w:val="en-US" w:eastAsia="zh-CN"/>
        </w:rPr>
      </w:pPr>
      <w:r>
        <w:rPr>
          <w:rFonts w:hint="eastAsia" w:asciiTheme="minorEastAsia" w:hAnsiTheme="minorEastAsia"/>
          <w:color w:val="auto"/>
          <w:sz w:val="24"/>
          <w:highlight w:val="none"/>
        </w:rPr>
        <w:t>业务联系人：</w:t>
      </w:r>
    </w:p>
    <w:p>
      <w:pPr>
        <w:widowControl/>
        <w:snapToGrid w:val="0"/>
        <w:spacing w:line="360" w:lineRule="auto"/>
        <w:ind w:firstLine="490"/>
        <w:jc w:val="left"/>
        <w:rPr>
          <w:rFonts w:hint="default" w:asciiTheme="minorEastAsia" w:hAnsiTheme="minorEastAsia" w:eastAsiaTheme="minorEastAsia"/>
          <w:color w:val="auto"/>
          <w:sz w:val="24"/>
          <w:highlight w:val="none"/>
          <w:lang w:val="en-US" w:eastAsia="zh-CN"/>
        </w:rPr>
      </w:pPr>
      <w:r>
        <w:rPr>
          <w:rFonts w:hint="eastAsia" w:asciiTheme="minorEastAsia" w:hAnsiTheme="minorEastAsia"/>
          <w:color w:val="auto"/>
          <w:sz w:val="24"/>
          <w:highlight w:val="none"/>
        </w:rPr>
        <w:t>手机短信：</w:t>
      </w:r>
    </w:p>
    <w:p>
      <w:pPr>
        <w:widowControl/>
        <w:snapToGrid w:val="0"/>
        <w:spacing w:line="360" w:lineRule="auto"/>
        <w:ind w:firstLine="490"/>
        <w:jc w:val="left"/>
        <w:rPr>
          <w:rFonts w:hint="default" w:asciiTheme="minorEastAsia" w:hAnsiTheme="minorEastAsia" w:eastAsiaTheme="minorEastAsia"/>
          <w:color w:val="auto"/>
          <w:sz w:val="24"/>
          <w:highlight w:val="none"/>
          <w:lang w:val="en-US" w:eastAsia="zh-CN"/>
        </w:rPr>
      </w:pPr>
      <w:r>
        <w:rPr>
          <w:rFonts w:hint="eastAsia" w:asciiTheme="minorEastAsia" w:hAnsiTheme="minorEastAsia"/>
          <w:color w:val="auto"/>
          <w:sz w:val="24"/>
          <w:highlight w:val="none"/>
        </w:rPr>
        <w:t>电子邮件：</w:t>
      </w:r>
    </w:p>
    <w:p>
      <w:pPr>
        <w:spacing w:line="360" w:lineRule="auto"/>
        <w:ind w:firstLine="480" w:firstLineChars="200"/>
        <w:rPr>
          <w:rFonts w:hint="default" w:asciiTheme="minorEastAsia" w:hAnsiTheme="minorEastAsia" w:eastAsiaTheme="minorEastAsia"/>
          <w:color w:val="auto"/>
          <w:sz w:val="24"/>
          <w:highlight w:val="none"/>
          <w:lang w:val="en-US" w:eastAsia="zh-CN"/>
        </w:rPr>
      </w:pPr>
      <w:r>
        <w:rPr>
          <w:rFonts w:hint="eastAsia" w:asciiTheme="minorEastAsia" w:hAnsiTheme="minorEastAsia"/>
          <w:color w:val="auto"/>
          <w:sz w:val="24"/>
          <w:highlight w:val="none"/>
        </w:rPr>
        <w:t>收件地址：</w:t>
      </w:r>
      <w:bookmarkStart w:id="0" w:name="_GoBack"/>
      <w:bookmarkEnd w:id="0"/>
    </w:p>
    <w:p>
      <w:pPr>
        <w:spacing w:line="276" w:lineRule="auto"/>
        <w:rPr>
          <w:rFonts w:asciiTheme="minorEastAsia" w:hAnsiTheme="minorEastAsia"/>
          <w:color w:val="auto"/>
          <w:sz w:val="24"/>
          <w:highlight w:val="none"/>
        </w:rPr>
      </w:pPr>
    </w:p>
    <w:p>
      <w:pPr>
        <w:numPr>
          <w:ilvl w:val="0"/>
          <w:numId w:val="1"/>
        </w:numPr>
        <w:spacing w:line="276" w:lineRule="auto"/>
        <w:outlineLvl w:val="0"/>
        <w:rPr>
          <w:rFonts w:asciiTheme="minorEastAsia" w:hAnsiTheme="minorEastAsia"/>
          <w:b/>
          <w:bCs/>
          <w:color w:val="auto"/>
          <w:sz w:val="24"/>
          <w:highlight w:val="none"/>
        </w:rPr>
      </w:pPr>
      <w:r>
        <w:rPr>
          <w:rFonts w:hint="eastAsia" w:asciiTheme="minorEastAsia" w:hAnsiTheme="minorEastAsia"/>
          <w:b/>
          <w:bCs/>
          <w:color w:val="auto"/>
          <w:sz w:val="24"/>
          <w:highlight w:val="none"/>
        </w:rPr>
        <w:t>双方权利及义务</w:t>
      </w:r>
    </w:p>
    <w:p>
      <w:pPr>
        <w:spacing w:line="276" w:lineRule="auto"/>
        <w:rPr>
          <w:rFonts w:asciiTheme="minorEastAsia" w:hAnsiTheme="minorEastAsia"/>
          <w:color w:val="auto"/>
          <w:sz w:val="24"/>
          <w:highlight w:val="none"/>
        </w:rPr>
      </w:pPr>
    </w:p>
    <w:p>
      <w:pPr>
        <w:numPr>
          <w:ilvl w:val="0"/>
          <w:numId w:val="10"/>
        </w:numPr>
        <w:spacing w:line="360" w:lineRule="auto"/>
        <w:ind w:firstLine="480" w:firstLineChars="200"/>
        <w:rPr>
          <w:rFonts w:asciiTheme="minorEastAsia" w:hAnsiTheme="minorEastAsia"/>
          <w:color w:val="auto"/>
          <w:sz w:val="24"/>
          <w:highlight w:val="none"/>
        </w:rPr>
      </w:pPr>
      <w:r>
        <w:rPr>
          <w:rFonts w:hint="eastAsia" w:asciiTheme="minorEastAsia" w:hAnsiTheme="minorEastAsia"/>
          <w:color w:val="auto"/>
          <w:sz w:val="24"/>
          <w:highlight w:val="none"/>
        </w:rPr>
        <w:t>乙方声明其为有资质的自行履行或组织履行运输业务、承担承运人责任的企业，已获得从事本合同项下业务所需的一切行政许可，包括但不限于营业执照及《道路运输经营许可证》等，并将在合同有效期内保持持续有效。</w:t>
      </w:r>
    </w:p>
    <w:p>
      <w:pPr>
        <w:numPr>
          <w:ilvl w:val="0"/>
          <w:numId w:val="10"/>
        </w:numPr>
        <w:spacing w:line="360" w:lineRule="auto"/>
        <w:ind w:firstLine="480" w:firstLineChars="200"/>
        <w:rPr>
          <w:rFonts w:asciiTheme="minorEastAsia" w:hAnsiTheme="minorEastAsia"/>
          <w:color w:val="auto"/>
          <w:sz w:val="24"/>
          <w:highlight w:val="none"/>
        </w:rPr>
      </w:pPr>
      <w:r>
        <w:rPr>
          <w:rFonts w:hint="eastAsia" w:asciiTheme="minorEastAsia" w:hAnsiTheme="minorEastAsia"/>
          <w:color w:val="auto"/>
          <w:sz w:val="24"/>
          <w:highlight w:val="none"/>
        </w:rPr>
        <w:t>乙方承诺严格按照有关国家法律法规、国家标准、行业标准、行业惯例，并遵循行业最佳的实践操作模式，进行安全管理，保证运输货物的完好和安全。</w:t>
      </w:r>
    </w:p>
    <w:p>
      <w:pPr>
        <w:numPr>
          <w:ilvl w:val="0"/>
          <w:numId w:val="10"/>
        </w:numPr>
        <w:spacing w:line="360" w:lineRule="auto"/>
        <w:ind w:firstLine="480" w:firstLineChars="200"/>
        <w:rPr>
          <w:rFonts w:asciiTheme="minorEastAsia" w:hAnsiTheme="minorEastAsia"/>
          <w:color w:val="auto"/>
          <w:sz w:val="24"/>
          <w:highlight w:val="none"/>
        </w:rPr>
      </w:pPr>
      <w:r>
        <w:rPr>
          <w:rFonts w:hint="eastAsia" w:asciiTheme="minorEastAsia" w:hAnsiTheme="minorEastAsia"/>
          <w:color w:val="auto"/>
          <w:sz w:val="24"/>
          <w:highlight w:val="none"/>
        </w:rPr>
        <w:t>乙方的责任期限为业务提货开始至货物完成交付为止，负责全程运输的安排，对多项联运各区段的运输负责。</w:t>
      </w:r>
    </w:p>
    <w:p>
      <w:pPr>
        <w:numPr>
          <w:ilvl w:val="0"/>
          <w:numId w:val="10"/>
        </w:numPr>
        <w:spacing w:line="360" w:lineRule="auto"/>
        <w:ind w:firstLine="480" w:firstLineChars="200"/>
        <w:rPr>
          <w:rFonts w:asciiTheme="minorEastAsia" w:hAnsiTheme="minorEastAsia"/>
          <w:color w:val="auto"/>
          <w:sz w:val="24"/>
          <w:highlight w:val="none"/>
        </w:rPr>
      </w:pPr>
      <w:r>
        <w:rPr>
          <w:rFonts w:hint="eastAsia" w:asciiTheme="minorEastAsia" w:hAnsiTheme="minorEastAsia"/>
          <w:color w:val="auto"/>
          <w:sz w:val="24"/>
          <w:highlight w:val="none"/>
        </w:rPr>
        <w:t>乙方有义务绝不擅自处置货物，除非在紧急情况下为了托运人的利益而为。在任何情形下其不得在货物上设置抵押、质押等行为。</w:t>
      </w:r>
    </w:p>
    <w:p>
      <w:pPr>
        <w:numPr>
          <w:ilvl w:val="0"/>
          <w:numId w:val="10"/>
        </w:numPr>
        <w:spacing w:line="360" w:lineRule="auto"/>
        <w:ind w:firstLine="480" w:firstLineChars="200"/>
        <w:rPr>
          <w:rFonts w:asciiTheme="minorEastAsia" w:hAnsiTheme="minorEastAsia"/>
          <w:color w:val="auto"/>
          <w:sz w:val="24"/>
          <w:highlight w:val="none"/>
        </w:rPr>
      </w:pPr>
      <w:r>
        <w:rPr>
          <w:rFonts w:hint="eastAsia" w:asciiTheme="minorEastAsia" w:hAnsiTheme="minorEastAsia"/>
          <w:color w:val="auto"/>
          <w:sz w:val="24"/>
          <w:highlight w:val="none"/>
        </w:rPr>
        <w:t>乙方有责任在装运过程中为甲方完成铺垫、装车、理货，确保装运的货物数量准确、质量合格且有相关交接记录并确保完整无误。</w:t>
      </w:r>
    </w:p>
    <w:p>
      <w:pPr>
        <w:numPr>
          <w:ilvl w:val="0"/>
          <w:numId w:val="10"/>
        </w:numPr>
        <w:spacing w:line="360" w:lineRule="auto"/>
        <w:ind w:firstLine="480" w:firstLineChars="200"/>
        <w:rPr>
          <w:rFonts w:asciiTheme="minorEastAsia" w:hAnsiTheme="minorEastAsia"/>
          <w:color w:val="auto"/>
          <w:sz w:val="24"/>
          <w:highlight w:val="none"/>
        </w:rPr>
      </w:pPr>
      <w:r>
        <w:rPr>
          <w:rFonts w:hint="eastAsia" w:asciiTheme="minorEastAsia" w:hAnsiTheme="minorEastAsia"/>
          <w:color w:val="auto"/>
          <w:sz w:val="24"/>
          <w:highlight w:val="none"/>
        </w:rPr>
        <w:t>在货物按本合同交付甲方指定收货人之前的任何时刻，甲方是货物的唯一所有人，乙方保证只按甲方或甲方指定的代表的指示行事。</w:t>
      </w:r>
    </w:p>
    <w:p>
      <w:pPr>
        <w:numPr>
          <w:ilvl w:val="0"/>
          <w:numId w:val="10"/>
        </w:numPr>
        <w:spacing w:line="360" w:lineRule="auto"/>
        <w:ind w:firstLine="480" w:firstLineChars="200"/>
        <w:rPr>
          <w:rFonts w:asciiTheme="minorEastAsia" w:hAnsiTheme="minorEastAsia"/>
          <w:color w:val="auto"/>
          <w:sz w:val="24"/>
          <w:highlight w:val="none"/>
        </w:rPr>
      </w:pPr>
      <w:r>
        <w:rPr>
          <w:rFonts w:hint="eastAsia" w:asciiTheme="minorEastAsia" w:hAnsiTheme="minorEastAsia"/>
          <w:color w:val="auto"/>
          <w:sz w:val="24"/>
          <w:highlight w:val="none"/>
        </w:rPr>
        <w:t>自开始装货至卸货完成并由甲方指定收货人签收期间，发生货损等风险的，乙方应赔偿甲方因此遭受的全部损失。</w:t>
      </w:r>
    </w:p>
    <w:p>
      <w:pPr>
        <w:numPr>
          <w:ilvl w:val="0"/>
          <w:numId w:val="10"/>
        </w:numPr>
        <w:spacing w:line="360" w:lineRule="auto"/>
        <w:ind w:firstLine="480" w:firstLineChars="200"/>
        <w:rPr>
          <w:rFonts w:asciiTheme="minorEastAsia" w:hAnsiTheme="minorEastAsia"/>
          <w:color w:val="auto"/>
          <w:sz w:val="24"/>
          <w:highlight w:val="none"/>
        </w:rPr>
      </w:pPr>
      <w:r>
        <w:rPr>
          <w:rFonts w:hint="eastAsia" w:asciiTheme="minorEastAsia" w:hAnsiTheme="minorEastAsia"/>
          <w:color w:val="auto"/>
          <w:sz w:val="24"/>
          <w:highlight w:val="none"/>
        </w:rPr>
        <w:t>乙方应对自身派遣车辆负安全责任，确保遵守安全生产制度，如在运输过程中因驾驶过程产生的车辆、人员、货物损失由乙方承担。</w:t>
      </w:r>
    </w:p>
    <w:p>
      <w:pPr>
        <w:numPr>
          <w:ilvl w:val="0"/>
          <w:numId w:val="10"/>
        </w:numPr>
        <w:spacing w:line="360" w:lineRule="auto"/>
        <w:ind w:firstLine="480" w:firstLineChars="200"/>
        <w:rPr>
          <w:rFonts w:asciiTheme="minorEastAsia" w:hAnsiTheme="minorEastAsia"/>
          <w:color w:val="auto"/>
          <w:sz w:val="24"/>
          <w:highlight w:val="none"/>
        </w:rPr>
      </w:pPr>
      <w:r>
        <w:rPr>
          <w:rFonts w:hint="eastAsia" w:asciiTheme="minorEastAsia" w:hAnsiTheme="minorEastAsia"/>
          <w:color w:val="auto"/>
          <w:sz w:val="24"/>
          <w:highlight w:val="none"/>
        </w:rPr>
        <w:t>乙方的输运车辆在承运过程中产生的事故、车祸，而造成人员伤害或财产损失的，应由乙方全额赔偿相关损失及承担相关法律后果。同时乙方应确保甲方的货物安全质量并提交解决方案，安全处置承运货物。</w:t>
      </w:r>
    </w:p>
    <w:p>
      <w:pPr>
        <w:spacing w:line="276" w:lineRule="auto"/>
        <w:rPr>
          <w:rFonts w:asciiTheme="minorEastAsia" w:hAnsiTheme="minorEastAsia"/>
          <w:color w:val="auto"/>
          <w:sz w:val="24"/>
          <w:highlight w:val="none"/>
        </w:rPr>
      </w:pPr>
    </w:p>
    <w:p>
      <w:pPr>
        <w:numPr>
          <w:ilvl w:val="0"/>
          <w:numId w:val="1"/>
        </w:numPr>
        <w:spacing w:line="276" w:lineRule="auto"/>
        <w:outlineLvl w:val="0"/>
        <w:rPr>
          <w:rFonts w:asciiTheme="minorEastAsia" w:hAnsiTheme="minorEastAsia"/>
          <w:b/>
          <w:bCs/>
          <w:color w:val="auto"/>
          <w:sz w:val="24"/>
          <w:highlight w:val="none"/>
        </w:rPr>
      </w:pPr>
      <w:r>
        <w:rPr>
          <w:rFonts w:hint="eastAsia" w:asciiTheme="minorEastAsia" w:hAnsiTheme="minorEastAsia"/>
          <w:b/>
          <w:bCs/>
          <w:color w:val="auto"/>
          <w:sz w:val="24"/>
          <w:highlight w:val="none"/>
        </w:rPr>
        <w:t>结算方式</w:t>
      </w:r>
    </w:p>
    <w:p>
      <w:pPr>
        <w:spacing w:line="276" w:lineRule="auto"/>
        <w:outlineLvl w:val="0"/>
        <w:rPr>
          <w:rFonts w:asciiTheme="minorEastAsia" w:hAnsiTheme="minorEastAsia"/>
          <w:b/>
          <w:bCs/>
          <w:color w:val="auto"/>
          <w:sz w:val="24"/>
          <w:highlight w:val="none"/>
        </w:rPr>
      </w:pPr>
    </w:p>
    <w:p>
      <w:pPr>
        <w:numPr>
          <w:ilvl w:val="0"/>
          <w:numId w:val="11"/>
        </w:numPr>
        <w:spacing w:line="276" w:lineRule="auto"/>
        <w:ind w:firstLine="482" w:firstLineChars="200"/>
        <w:rPr>
          <w:rFonts w:asciiTheme="minorEastAsia" w:hAnsiTheme="minorEastAsia"/>
          <w:color w:val="auto"/>
          <w:sz w:val="24"/>
          <w:highlight w:val="none"/>
        </w:rPr>
      </w:pPr>
      <w:r>
        <w:rPr>
          <w:rFonts w:hint="eastAsia" w:asciiTheme="minorEastAsia" w:hAnsiTheme="minorEastAsia"/>
          <w:b/>
          <w:bCs/>
          <w:color w:val="auto"/>
          <w:sz w:val="24"/>
          <w:highlight w:val="none"/>
        </w:rPr>
        <w:t>月度结算：</w:t>
      </w:r>
    </w:p>
    <w:p>
      <w:pPr>
        <w:spacing w:line="276" w:lineRule="auto"/>
        <w:rPr>
          <w:rFonts w:asciiTheme="minorEastAsia" w:hAnsiTheme="minorEastAsia"/>
          <w:color w:val="auto"/>
          <w:sz w:val="24"/>
          <w:highlight w:val="none"/>
        </w:rPr>
      </w:pPr>
    </w:p>
    <w:p>
      <w:pPr>
        <w:numPr>
          <w:ilvl w:val="0"/>
          <w:numId w:val="12"/>
        </w:numPr>
        <w:spacing w:line="360" w:lineRule="auto"/>
        <w:ind w:left="420"/>
        <w:rPr>
          <w:rFonts w:asciiTheme="minorEastAsia" w:hAnsiTheme="minorEastAsia"/>
          <w:color w:val="auto"/>
          <w:sz w:val="24"/>
          <w:highlight w:val="none"/>
        </w:rPr>
      </w:pPr>
      <w:r>
        <w:rPr>
          <w:rFonts w:hint="eastAsia" w:asciiTheme="minorEastAsia" w:hAnsiTheme="minorEastAsia"/>
          <w:color w:val="auto"/>
          <w:sz w:val="24"/>
          <w:highlight w:val="none"/>
        </w:rPr>
        <w:t>上月运输货物完结并按甲方要求全部交付甲方指定接收人并收集齐全签收单据（包含运单、过磅单、收货人出具的签收单据等）后，且乙方交付给甲方指定接收人后，视为月度运输业务完结。乙方应收集上月运输业务所有签收单据，并于每月5日前完成编制运输结算清单传递至甲方进行核对。</w:t>
      </w:r>
    </w:p>
    <w:p>
      <w:pPr>
        <w:spacing w:line="276" w:lineRule="auto"/>
        <w:rPr>
          <w:rFonts w:asciiTheme="minorEastAsia" w:hAnsiTheme="minorEastAsia"/>
          <w:color w:val="auto"/>
          <w:sz w:val="24"/>
          <w:highlight w:val="none"/>
        </w:rPr>
      </w:pPr>
    </w:p>
    <w:p>
      <w:pPr>
        <w:numPr>
          <w:ilvl w:val="0"/>
          <w:numId w:val="11"/>
        </w:numPr>
        <w:spacing w:line="276" w:lineRule="auto"/>
        <w:ind w:firstLine="480" w:firstLineChars="200"/>
        <w:rPr>
          <w:rFonts w:asciiTheme="minorEastAsia" w:hAnsiTheme="minorEastAsia"/>
          <w:color w:val="auto"/>
          <w:sz w:val="24"/>
          <w:highlight w:val="none"/>
        </w:rPr>
      </w:pPr>
      <w:r>
        <w:rPr>
          <w:rFonts w:hint="eastAsia" w:asciiTheme="minorEastAsia" w:hAnsiTheme="minorEastAsia"/>
          <w:color w:val="auto"/>
          <w:sz w:val="24"/>
          <w:highlight w:val="none"/>
        </w:rPr>
        <w:t>核对与结算：</w:t>
      </w:r>
    </w:p>
    <w:p>
      <w:pPr>
        <w:spacing w:line="276" w:lineRule="auto"/>
        <w:rPr>
          <w:rFonts w:asciiTheme="minorEastAsia" w:hAnsiTheme="minorEastAsia"/>
          <w:color w:val="auto"/>
          <w:sz w:val="24"/>
          <w:highlight w:val="none"/>
        </w:rPr>
      </w:pPr>
    </w:p>
    <w:p>
      <w:pPr>
        <w:numPr>
          <w:ilvl w:val="0"/>
          <w:numId w:val="13"/>
        </w:numPr>
        <w:spacing w:line="360" w:lineRule="auto"/>
        <w:ind w:left="420" w:leftChars="200"/>
        <w:rPr>
          <w:rFonts w:asciiTheme="minorEastAsia" w:hAnsiTheme="minorEastAsia"/>
          <w:color w:val="auto"/>
          <w:sz w:val="24"/>
          <w:highlight w:val="none"/>
        </w:rPr>
      </w:pPr>
      <w:r>
        <w:rPr>
          <w:rFonts w:hint="eastAsia" w:asciiTheme="minorEastAsia" w:hAnsiTheme="minorEastAsia"/>
          <w:color w:val="auto"/>
          <w:sz w:val="24"/>
          <w:highlight w:val="none"/>
        </w:rPr>
        <w:t>甲方收到乙方的签收单据以及结算清单之日起，甲方应在5个工作日内完成与乙方进行核对，核对无误后双方在结算清单签字盖章确认后，乙方开具9%的增值税专用发票。</w:t>
      </w:r>
    </w:p>
    <w:p>
      <w:pPr>
        <w:spacing w:line="276" w:lineRule="auto"/>
        <w:rPr>
          <w:rFonts w:asciiTheme="minorEastAsia" w:hAnsiTheme="minorEastAsia"/>
          <w:color w:val="auto"/>
          <w:sz w:val="24"/>
          <w:highlight w:val="none"/>
        </w:rPr>
      </w:pPr>
    </w:p>
    <w:p>
      <w:pPr>
        <w:numPr>
          <w:ilvl w:val="0"/>
          <w:numId w:val="11"/>
        </w:numPr>
        <w:spacing w:line="276" w:lineRule="auto"/>
        <w:ind w:firstLine="482" w:firstLineChars="200"/>
        <w:rPr>
          <w:rFonts w:asciiTheme="minorEastAsia" w:hAnsiTheme="minorEastAsia"/>
          <w:color w:val="auto"/>
          <w:sz w:val="24"/>
          <w:highlight w:val="none"/>
        </w:rPr>
      </w:pPr>
      <w:r>
        <w:rPr>
          <w:rFonts w:hint="eastAsia" w:asciiTheme="minorEastAsia" w:hAnsiTheme="minorEastAsia"/>
          <w:b/>
          <w:bCs/>
          <w:color w:val="auto"/>
          <w:sz w:val="24"/>
          <w:highlight w:val="none"/>
        </w:rPr>
        <w:t>款项支付：</w:t>
      </w:r>
    </w:p>
    <w:p>
      <w:pPr>
        <w:spacing w:line="276" w:lineRule="auto"/>
        <w:rPr>
          <w:rFonts w:asciiTheme="minorEastAsia" w:hAnsiTheme="minorEastAsia"/>
          <w:color w:val="auto"/>
          <w:sz w:val="24"/>
          <w:highlight w:val="none"/>
        </w:rPr>
      </w:pPr>
    </w:p>
    <w:p>
      <w:pPr>
        <w:numPr>
          <w:ilvl w:val="0"/>
          <w:numId w:val="14"/>
        </w:numPr>
        <w:spacing w:line="360" w:lineRule="auto"/>
        <w:ind w:left="420"/>
        <w:rPr>
          <w:rFonts w:asciiTheme="minorEastAsia" w:hAnsiTheme="minorEastAsia"/>
          <w:color w:val="auto"/>
          <w:sz w:val="24"/>
          <w:highlight w:val="none"/>
        </w:rPr>
      </w:pPr>
      <w:r>
        <w:rPr>
          <w:rFonts w:hint="eastAsia" w:asciiTheme="minorEastAsia" w:hAnsiTheme="minorEastAsia"/>
          <w:color w:val="auto"/>
          <w:sz w:val="24"/>
          <w:highlight w:val="none"/>
        </w:rPr>
        <w:t>乙方将发票及结算清单（具备签章）</w:t>
      </w:r>
      <w:r>
        <w:rPr>
          <w:rFonts w:asciiTheme="minorEastAsia" w:hAnsiTheme="minorEastAsia"/>
          <w:color w:val="auto"/>
          <w:sz w:val="24"/>
          <w:highlight w:val="none"/>
        </w:rPr>
        <w:t>于</w:t>
      </w:r>
      <w:r>
        <w:rPr>
          <w:rFonts w:hint="eastAsia" w:asciiTheme="minorEastAsia" w:hAnsiTheme="minorEastAsia"/>
          <w:color w:val="auto"/>
          <w:sz w:val="24"/>
          <w:highlight w:val="none"/>
        </w:rPr>
        <w:t>当月16日</w:t>
      </w:r>
      <w:r>
        <w:rPr>
          <w:rFonts w:asciiTheme="minorEastAsia" w:hAnsiTheme="minorEastAsia"/>
          <w:color w:val="auto"/>
          <w:sz w:val="24"/>
          <w:highlight w:val="none"/>
        </w:rPr>
        <w:t>前</w:t>
      </w:r>
      <w:r>
        <w:rPr>
          <w:rFonts w:hint="eastAsia" w:asciiTheme="minorEastAsia" w:hAnsiTheme="minorEastAsia"/>
          <w:color w:val="auto"/>
          <w:sz w:val="24"/>
          <w:highlight w:val="none"/>
        </w:rPr>
        <w:t>一并传递至甲方，甲方在收到乙方提供的发票及结算清单后应在当月30日前将相应款项付款至乙方指定账户。</w:t>
      </w:r>
    </w:p>
    <w:p>
      <w:pPr>
        <w:spacing w:line="276" w:lineRule="auto"/>
        <w:rPr>
          <w:rFonts w:asciiTheme="minorEastAsia" w:hAnsiTheme="minorEastAsia"/>
          <w:color w:val="auto"/>
          <w:sz w:val="24"/>
          <w:highlight w:val="none"/>
        </w:rPr>
      </w:pPr>
    </w:p>
    <w:p>
      <w:pPr>
        <w:numPr>
          <w:ilvl w:val="0"/>
          <w:numId w:val="11"/>
        </w:numPr>
        <w:spacing w:line="276" w:lineRule="auto"/>
        <w:ind w:firstLine="482" w:firstLineChars="200"/>
        <w:rPr>
          <w:rFonts w:asciiTheme="minorEastAsia" w:hAnsiTheme="minorEastAsia"/>
          <w:color w:val="auto"/>
          <w:sz w:val="24"/>
          <w:highlight w:val="none"/>
        </w:rPr>
      </w:pPr>
      <w:r>
        <w:rPr>
          <w:rFonts w:hint="eastAsia" w:asciiTheme="minorEastAsia" w:hAnsiTheme="minorEastAsia"/>
          <w:b/>
          <w:bCs/>
          <w:color w:val="auto"/>
          <w:sz w:val="24"/>
          <w:highlight w:val="none"/>
        </w:rPr>
        <w:t>货损货差</w:t>
      </w:r>
      <w:r>
        <w:rPr>
          <w:rFonts w:hint="eastAsia" w:asciiTheme="minorEastAsia" w:hAnsiTheme="minorEastAsia"/>
          <w:color w:val="auto"/>
          <w:sz w:val="24"/>
          <w:highlight w:val="none"/>
        </w:rPr>
        <w:t>：</w:t>
      </w:r>
    </w:p>
    <w:p>
      <w:pPr>
        <w:spacing w:line="360" w:lineRule="auto"/>
        <w:rPr>
          <w:rFonts w:asciiTheme="minorEastAsia" w:hAnsiTheme="minorEastAsia"/>
          <w:color w:val="auto"/>
          <w:sz w:val="24"/>
          <w:highlight w:val="none"/>
        </w:rPr>
      </w:pPr>
    </w:p>
    <w:p>
      <w:pPr>
        <w:numPr>
          <w:ilvl w:val="0"/>
          <w:numId w:val="15"/>
        </w:numPr>
        <w:spacing w:line="360" w:lineRule="auto"/>
        <w:ind w:left="420" w:leftChars="200"/>
        <w:rPr>
          <w:rFonts w:asciiTheme="minorEastAsia" w:hAnsiTheme="minorEastAsia"/>
          <w:color w:val="auto"/>
          <w:sz w:val="24"/>
          <w:highlight w:val="none"/>
        </w:rPr>
      </w:pPr>
      <w:r>
        <w:rPr>
          <w:rFonts w:hint="eastAsia" w:asciiTheme="minorEastAsia" w:hAnsiTheme="minorEastAsia"/>
          <w:color w:val="auto"/>
          <w:sz w:val="24"/>
          <w:highlight w:val="none"/>
        </w:rPr>
        <w:t>如当月运输业务有货损货差，双方就货损货差的实际情况签字盖章进行确认后，甲方有权在当个运输委托批次运费结算中扣除相应款项。</w:t>
      </w:r>
    </w:p>
    <w:p>
      <w:pPr>
        <w:spacing w:line="276" w:lineRule="auto"/>
        <w:rPr>
          <w:rFonts w:asciiTheme="minorEastAsia" w:hAnsiTheme="minorEastAsia"/>
          <w:color w:val="auto"/>
          <w:sz w:val="24"/>
          <w:highlight w:val="none"/>
        </w:rPr>
      </w:pPr>
    </w:p>
    <w:p>
      <w:pPr>
        <w:numPr>
          <w:ilvl w:val="0"/>
          <w:numId w:val="11"/>
        </w:numPr>
        <w:spacing w:line="276" w:lineRule="auto"/>
        <w:ind w:firstLine="480" w:firstLineChars="200"/>
        <w:rPr>
          <w:rFonts w:asciiTheme="minorEastAsia" w:hAnsiTheme="minorEastAsia"/>
          <w:bCs/>
          <w:color w:val="auto"/>
          <w:sz w:val="24"/>
          <w:highlight w:val="none"/>
        </w:rPr>
      </w:pPr>
      <w:r>
        <w:rPr>
          <w:rFonts w:hint="eastAsia" w:asciiTheme="minorEastAsia" w:hAnsiTheme="minorEastAsia"/>
          <w:bCs/>
          <w:color w:val="auto"/>
          <w:sz w:val="24"/>
          <w:highlight w:val="none"/>
        </w:rPr>
        <w:t>延期支付：</w:t>
      </w:r>
    </w:p>
    <w:p>
      <w:pPr>
        <w:spacing w:line="276" w:lineRule="auto"/>
        <w:rPr>
          <w:rFonts w:asciiTheme="minorEastAsia" w:hAnsiTheme="minorEastAsia"/>
          <w:bCs/>
          <w:color w:val="auto"/>
          <w:sz w:val="24"/>
          <w:highlight w:val="none"/>
        </w:rPr>
      </w:pPr>
    </w:p>
    <w:p>
      <w:pPr>
        <w:numPr>
          <w:ilvl w:val="0"/>
          <w:numId w:val="16"/>
        </w:numPr>
        <w:spacing w:line="360" w:lineRule="auto"/>
        <w:ind w:left="420" w:leftChars="200"/>
        <w:rPr>
          <w:rFonts w:asciiTheme="minorEastAsia" w:hAnsiTheme="minorEastAsia"/>
          <w:bCs/>
          <w:color w:val="auto"/>
          <w:sz w:val="24"/>
          <w:highlight w:val="none"/>
        </w:rPr>
      </w:pPr>
      <w:r>
        <w:rPr>
          <w:rFonts w:hint="eastAsia" w:asciiTheme="minorEastAsia" w:hAnsiTheme="minorEastAsia"/>
          <w:bCs/>
          <w:color w:val="auto"/>
          <w:sz w:val="24"/>
          <w:highlight w:val="none"/>
        </w:rPr>
        <w:t>如甲方未能按期支付上月运输费用的，延误至下月（11月运输业务，12月结算，延误至1月1日）1日起对上月运输费用按年化6.5%进行计息。</w:t>
      </w:r>
    </w:p>
    <w:p>
      <w:pPr>
        <w:numPr>
          <w:ilvl w:val="0"/>
          <w:numId w:val="16"/>
        </w:numPr>
        <w:spacing w:line="360" w:lineRule="auto"/>
        <w:ind w:left="420"/>
        <w:rPr>
          <w:rFonts w:asciiTheme="minorEastAsia" w:hAnsiTheme="minorEastAsia"/>
          <w:bCs/>
          <w:color w:val="auto"/>
          <w:sz w:val="24"/>
          <w:highlight w:val="none"/>
        </w:rPr>
      </w:pPr>
      <w:r>
        <w:rPr>
          <w:rFonts w:hint="eastAsia" w:asciiTheme="minorEastAsia" w:hAnsiTheme="minorEastAsia"/>
          <w:color w:val="auto"/>
          <w:sz w:val="24"/>
          <w:highlight w:val="none"/>
        </w:rPr>
        <w:t>如乙方发票及结算清单不能于</w:t>
      </w:r>
      <w:r>
        <w:rPr>
          <w:rFonts w:asciiTheme="minorEastAsia" w:hAnsiTheme="minorEastAsia"/>
          <w:color w:val="auto"/>
          <w:sz w:val="24"/>
          <w:highlight w:val="none"/>
        </w:rPr>
        <w:t>16</w:t>
      </w:r>
      <w:r>
        <w:rPr>
          <w:rFonts w:hint="eastAsia" w:asciiTheme="minorEastAsia" w:hAnsiTheme="minorEastAsia"/>
          <w:color w:val="auto"/>
          <w:sz w:val="24"/>
          <w:highlight w:val="none"/>
        </w:rPr>
        <w:t>日前送达给甲方</w:t>
      </w:r>
      <w:r>
        <w:rPr>
          <w:rFonts w:asciiTheme="minorEastAsia" w:hAnsiTheme="minorEastAsia"/>
          <w:color w:val="auto"/>
          <w:sz w:val="24"/>
          <w:highlight w:val="none"/>
        </w:rPr>
        <w:t>，</w:t>
      </w:r>
      <w:r>
        <w:rPr>
          <w:rFonts w:hint="eastAsia" w:asciiTheme="minorEastAsia" w:hAnsiTheme="minorEastAsia"/>
          <w:color w:val="auto"/>
          <w:sz w:val="24"/>
          <w:highlight w:val="none"/>
        </w:rPr>
        <w:t>造成延期</w:t>
      </w:r>
      <w:r>
        <w:rPr>
          <w:rFonts w:asciiTheme="minorEastAsia" w:hAnsiTheme="minorEastAsia"/>
          <w:color w:val="auto"/>
          <w:sz w:val="24"/>
          <w:highlight w:val="none"/>
        </w:rPr>
        <w:t>付款的</w:t>
      </w:r>
      <w:r>
        <w:rPr>
          <w:rFonts w:hint="eastAsia" w:asciiTheme="minorEastAsia" w:hAnsiTheme="minorEastAsia"/>
          <w:color w:val="auto"/>
          <w:sz w:val="24"/>
          <w:highlight w:val="none"/>
        </w:rPr>
        <w:t>，责任</w:t>
      </w:r>
      <w:r>
        <w:rPr>
          <w:rFonts w:asciiTheme="minorEastAsia" w:hAnsiTheme="minorEastAsia"/>
          <w:color w:val="auto"/>
          <w:sz w:val="24"/>
          <w:highlight w:val="none"/>
        </w:rPr>
        <w:t>由乙方承担</w:t>
      </w:r>
      <w:r>
        <w:rPr>
          <w:rFonts w:hint="eastAsia" w:asciiTheme="minorEastAsia" w:hAnsiTheme="minorEastAsia"/>
          <w:color w:val="auto"/>
          <w:sz w:val="24"/>
          <w:highlight w:val="none"/>
        </w:rPr>
        <w:t>，甲方则不负责延期支付上月运输费</w:t>
      </w:r>
      <w:r>
        <w:rPr>
          <w:rFonts w:asciiTheme="minorEastAsia" w:hAnsiTheme="minorEastAsia"/>
          <w:color w:val="auto"/>
          <w:sz w:val="24"/>
          <w:highlight w:val="none"/>
        </w:rPr>
        <w:t>产生的</w:t>
      </w:r>
      <w:r>
        <w:rPr>
          <w:rFonts w:hint="eastAsia" w:asciiTheme="minorEastAsia" w:hAnsiTheme="minorEastAsia"/>
          <w:color w:val="auto"/>
          <w:sz w:val="24"/>
          <w:highlight w:val="none"/>
        </w:rPr>
        <w:t>利息。</w:t>
      </w:r>
    </w:p>
    <w:p>
      <w:pPr>
        <w:spacing w:line="360" w:lineRule="auto"/>
        <w:ind w:left="420"/>
        <w:rPr>
          <w:rFonts w:asciiTheme="minorEastAsia" w:hAnsiTheme="minorEastAsia"/>
          <w:color w:val="auto"/>
          <w:sz w:val="24"/>
          <w:highlight w:val="none"/>
        </w:rPr>
      </w:pPr>
      <w:r>
        <w:rPr>
          <w:rFonts w:hint="eastAsia" w:asciiTheme="minorEastAsia" w:hAnsiTheme="minorEastAsia"/>
          <w:color w:val="auto"/>
          <w:sz w:val="24"/>
          <w:highlight w:val="none"/>
        </w:rPr>
        <w:t>（六）运输保证金：</w:t>
      </w:r>
    </w:p>
    <w:p>
      <w:pPr>
        <w:spacing w:line="400" w:lineRule="exact"/>
        <w:ind w:firstLine="480" w:firstLineChars="200"/>
        <w:rPr>
          <w:rFonts w:asciiTheme="minorEastAsia" w:hAnsiTheme="minorEastAsia"/>
          <w:color w:val="auto"/>
          <w:sz w:val="24"/>
          <w:highlight w:val="none"/>
        </w:rPr>
      </w:pPr>
      <w:r>
        <w:rPr>
          <w:rFonts w:hint="eastAsia" w:asciiTheme="minorEastAsia" w:hAnsiTheme="minorEastAsia"/>
          <w:color w:val="auto"/>
          <w:sz w:val="24"/>
          <w:highlight w:val="none"/>
        </w:rPr>
        <w:t>1. 为确保榨季运输业务的有效开展，乙方于合同签订后5个工作日内将运输履约保证金</w:t>
      </w:r>
      <w:r>
        <w:rPr>
          <w:rFonts w:hint="eastAsia" w:asciiTheme="minorEastAsia" w:hAnsiTheme="minorEastAsia"/>
          <w:color w:val="auto"/>
          <w:sz w:val="24"/>
          <w:highlight w:val="none"/>
          <w:u w:val="single"/>
        </w:rPr>
        <w:t xml:space="preserve"> </w:t>
      </w:r>
      <w:r>
        <w:rPr>
          <w:rFonts w:hint="eastAsia" w:asciiTheme="minorEastAsia" w:hAnsiTheme="minorEastAsia"/>
          <w:color w:val="auto"/>
          <w:sz w:val="24"/>
          <w:highlight w:val="none"/>
          <w:u w:val="single"/>
          <w:lang w:val="en-US" w:eastAsia="zh-CN"/>
        </w:rPr>
        <w:t>200000</w:t>
      </w:r>
      <w:r>
        <w:rPr>
          <w:rFonts w:asciiTheme="minorEastAsia" w:hAnsiTheme="minorEastAsia"/>
          <w:color w:val="auto"/>
          <w:sz w:val="24"/>
          <w:highlight w:val="none"/>
          <w:u w:val="single"/>
        </w:rPr>
        <w:t xml:space="preserve"> </w:t>
      </w:r>
      <w:r>
        <w:rPr>
          <w:rFonts w:hint="eastAsia" w:asciiTheme="minorEastAsia" w:hAnsiTheme="minorEastAsia"/>
          <w:color w:val="auto"/>
          <w:sz w:val="24"/>
          <w:highlight w:val="none"/>
        </w:rPr>
        <w:t>元（大写</w:t>
      </w:r>
      <w:r>
        <w:rPr>
          <w:rFonts w:hint="eastAsia" w:asciiTheme="minorEastAsia" w:hAnsiTheme="minorEastAsia"/>
          <w:color w:val="auto"/>
          <w:sz w:val="24"/>
          <w:highlight w:val="none"/>
          <w:u w:val="single"/>
        </w:rPr>
        <w:t>：</w:t>
      </w:r>
      <w:r>
        <w:rPr>
          <w:rFonts w:hint="eastAsia" w:asciiTheme="minorEastAsia" w:hAnsiTheme="minorEastAsia"/>
          <w:color w:val="auto"/>
          <w:sz w:val="24"/>
          <w:highlight w:val="none"/>
          <w:u w:val="single"/>
          <w:lang w:val="en-US" w:eastAsia="zh-CN"/>
        </w:rPr>
        <w:t>贰拾万圆整</w:t>
      </w:r>
      <w:r>
        <w:rPr>
          <w:rFonts w:asciiTheme="minorEastAsia" w:hAnsiTheme="minorEastAsia"/>
          <w:color w:val="auto"/>
          <w:sz w:val="24"/>
          <w:highlight w:val="none"/>
          <w:u w:val="single"/>
        </w:rPr>
        <w:t xml:space="preserve"> </w:t>
      </w:r>
      <w:r>
        <w:rPr>
          <w:rFonts w:hint="eastAsia" w:asciiTheme="minorEastAsia" w:hAnsiTheme="minorEastAsia"/>
          <w:color w:val="auto"/>
          <w:sz w:val="24"/>
          <w:highlight w:val="none"/>
        </w:rPr>
        <w:t>）付至甲方指定账号；如乙方违反本合同的约定，甲方有权直接在履约保证金中扣除，在本合同履行完毕后，由乙方提出书面申请，甲方将剩余履约保证金一次性无息退还乙方。</w:t>
      </w:r>
    </w:p>
    <w:p>
      <w:pPr>
        <w:spacing w:line="400" w:lineRule="exact"/>
        <w:ind w:firstLine="480" w:firstLineChars="200"/>
        <w:rPr>
          <w:rFonts w:hint="eastAsia" w:asciiTheme="minorEastAsia" w:hAnsiTheme="minorEastAsia"/>
          <w:color w:val="auto"/>
          <w:sz w:val="24"/>
          <w:highlight w:val="none"/>
        </w:rPr>
      </w:pPr>
      <w:r>
        <w:rPr>
          <w:rFonts w:hint="eastAsia" w:asciiTheme="minorEastAsia" w:hAnsiTheme="minorEastAsia"/>
          <w:color w:val="auto"/>
          <w:sz w:val="24"/>
          <w:highlight w:val="none"/>
        </w:rPr>
        <w:t>2．乙方单方面终止合同，甲方有权扣除全部履约保证金，同时乙方必须承担甲方为此付出的全部损失。</w:t>
      </w:r>
    </w:p>
    <w:p>
      <w:pPr>
        <w:spacing w:line="360" w:lineRule="auto"/>
        <w:ind w:left="420"/>
        <w:rPr>
          <w:rFonts w:hint="eastAsia" w:asciiTheme="minorEastAsia" w:hAnsiTheme="minorEastAsia"/>
          <w:bCs/>
          <w:color w:val="auto"/>
          <w:sz w:val="24"/>
          <w:highlight w:val="none"/>
        </w:rPr>
      </w:pPr>
    </w:p>
    <w:p>
      <w:pPr>
        <w:spacing w:line="276" w:lineRule="auto"/>
        <w:rPr>
          <w:rFonts w:asciiTheme="minorEastAsia" w:hAnsiTheme="minorEastAsia"/>
          <w:bCs/>
          <w:color w:val="auto"/>
          <w:sz w:val="24"/>
          <w:highlight w:val="none"/>
        </w:rPr>
      </w:pPr>
    </w:p>
    <w:p>
      <w:pPr>
        <w:numPr>
          <w:ilvl w:val="0"/>
          <w:numId w:val="1"/>
        </w:numPr>
        <w:tabs>
          <w:tab w:val="left" w:pos="3229"/>
        </w:tabs>
        <w:spacing w:line="276" w:lineRule="auto"/>
        <w:rPr>
          <w:rFonts w:asciiTheme="minorEastAsia" w:hAnsiTheme="minorEastAsia"/>
          <w:b/>
          <w:bCs/>
          <w:color w:val="auto"/>
          <w:sz w:val="24"/>
          <w:highlight w:val="none"/>
        </w:rPr>
      </w:pPr>
      <w:r>
        <w:rPr>
          <w:rFonts w:hint="eastAsia" w:asciiTheme="minorEastAsia" w:hAnsiTheme="minorEastAsia"/>
          <w:b/>
          <w:bCs/>
          <w:color w:val="auto"/>
          <w:sz w:val="24"/>
          <w:highlight w:val="none"/>
        </w:rPr>
        <w:t>违约责任</w:t>
      </w:r>
      <w:r>
        <w:rPr>
          <w:rFonts w:hint="eastAsia" w:asciiTheme="minorEastAsia" w:hAnsiTheme="minorEastAsia"/>
          <w:b/>
          <w:bCs/>
          <w:color w:val="auto"/>
          <w:sz w:val="24"/>
          <w:highlight w:val="none"/>
        </w:rPr>
        <w:tab/>
      </w:r>
    </w:p>
    <w:p>
      <w:pPr>
        <w:spacing w:line="276" w:lineRule="auto"/>
        <w:rPr>
          <w:rFonts w:asciiTheme="minorEastAsia" w:hAnsiTheme="minorEastAsia"/>
          <w:color w:val="auto"/>
          <w:sz w:val="24"/>
          <w:highlight w:val="none"/>
        </w:rPr>
      </w:pPr>
    </w:p>
    <w:p>
      <w:pPr>
        <w:numPr>
          <w:ilvl w:val="0"/>
          <w:numId w:val="17"/>
        </w:numPr>
        <w:spacing w:line="360" w:lineRule="auto"/>
        <w:ind w:firstLine="480" w:firstLineChars="200"/>
        <w:rPr>
          <w:rFonts w:asciiTheme="minorEastAsia" w:hAnsiTheme="minorEastAsia"/>
          <w:color w:val="auto"/>
          <w:sz w:val="24"/>
          <w:highlight w:val="none"/>
        </w:rPr>
      </w:pPr>
      <w:r>
        <w:rPr>
          <w:rFonts w:hint="eastAsia" w:cs="宋体" w:asciiTheme="minorEastAsia" w:hAnsiTheme="minorEastAsia"/>
          <w:color w:val="auto"/>
          <w:kern w:val="0"/>
          <w:sz w:val="24"/>
          <w:highlight w:val="none"/>
        </w:rPr>
        <w:t>乙方如未能按合同中甲方要求的运输时间及运输量提供服务的，甲方有权就此情况签约替补运输商，而价格差异带来的损失由乙方的运输保证金进行承担，且乙方应按照档次批次运输费用额5%向甲方支付违约金。</w:t>
      </w:r>
    </w:p>
    <w:p>
      <w:pPr>
        <w:numPr>
          <w:ilvl w:val="0"/>
          <w:numId w:val="17"/>
        </w:numPr>
        <w:spacing w:line="360" w:lineRule="auto"/>
        <w:ind w:firstLine="480" w:firstLineChars="200"/>
        <w:rPr>
          <w:rFonts w:asciiTheme="minorEastAsia" w:hAnsiTheme="minorEastAsia"/>
          <w:color w:val="auto"/>
          <w:sz w:val="24"/>
          <w:highlight w:val="none"/>
        </w:rPr>
      </w:pPr>
      <w:r>
        <w:rPr>
          <w:rFonts w:hint="eastAsia" w:asciiTheme="minorEastAsia" w:hAnsiTheme="minorEastAsia"/>
          <w:color w:val="auto"/>
          <w:sz w:val="24"/>
          <w:highlight w:val="none"/>
        </w:rPr>
        <w:t>甲方有义务协调解决货物装运问题，如因货物装卸问题带来的损失及影响，不得追究乙方责任。</w:t>
      </w:r>
    </w:p>
    <w:p>
      <w:pPr>
        <w:numPr>
          <w:ilvl w:val="0"/>
          <w:numId w:val="17"/>
        </w:numPr>
        <w:spacing w:line="360" w:lineRule="auto"/>
        <w:ind w:firstLine="480" w:firstLineChars="200"/>
        <w:rPr>
          <w:rFonts w:asciiTheme="minorEastAsia" w:hAnsiTheme="minorEastAsia"/>
          <w:color w:val="auto"/>
          <w:sz w:val="24"/>
          <w:highlight w:val="none"/>
        </w:rPr>
      </w:pPr>
      <w:r>
        <w:rPr>
          <w:rFonts w:hint="eastAsia" w:cs="宋体" w:asciiTheme="minorEastAsia" w:hAnsiTheme="minorEastAsia"/>
          <w:color w:val="auto"/>
          <w:kern w:val="0"/>
          <w:sz w:val="24"/>
          <w:highlight w:val="none"/>
        </w:rPr>
        <w:t>乙方在结算时不能提供齐全的甲方要求的货物签收文件，甲方有权延迟结算；乙方应开具9%的运输发票，在未能按期提供发票的，甲方有权延迟结算；具体结算情况视事件解决情况而定。</w:t>
      </w:r>
      <w:r>
        <w:rPr>
          <w:rFonts w:hint="eastAsia" w:asciiTheme="minorEastAsia" w:hAnsiTheme="minorEastAsia"/>
          <w:bCs/>
          <w:color w:val="auto"/>
          <w:sz w:val="24"/>
          <w:highlight w:val="none"/>
        </w:rPr>
        <w:t>乙方提供的发票若非合法有效，则甲方在任何时候均有权要求乙方重新开具，虚假发票所致的行政处罚或其他后果均由乙方承担，导致的行政、刑事责任由乙方负责自行承担，且甲方有权视情况解除合同并追究乙方责任</w:t>
      </w:r>
      <w:r>
        <w:rPr>
          <w:rFonts w:asciiTheme="minorEastAsia" w:hAnsiTheme="minorEastAsia"/>
          <w:bCs/>
          <w:color w:val="auto"/>
          <w:sz w:val="24"/>
          <w:highlight w:val="none"/>
        </w:rPr>
        <w:t>，</w:t>
      </w:r>
      <w:r>
        <w:rPr>
          <w:rFonts w:hint="eastAsia" w:asciiTheme="minorEastAsia" w:hAnsiTheme="minorEastAsia"/>
          <w:bCs/>
          <w:color w:val="auto"/>
          <w:sz w:val="24"/>
          <w:highlight w:val="none"/>
        </w:rPr>
        <w:t>按甲方所需支付的费用10%的违约责任。</w:t>
      </w:r>
    </w:p>
    <w:p>
      <w:pPr>
        <w:numPr>
          <w:ilvl w:val="0"/>
          <w:numId w:val="17"/>
        </w:numPr>
        <w:spacing w:line="360" w:lineRule="auto"/>
        <w:ind w:firstLine="480" w:firstLineChars="200"/>
        <w:rPr>
          <w:rFonts w:asciiTheme="minorEastAsia" w:hAnsiTheme="minorEastAsia"/>
          <w:color w:val="auto"/>
          <w:sz w:val="24"/>
          <w:highlight w:val="none"/>
        </w:rPr>
      </w:pPr>
      <w:r>
        <w:rPr>
          <w:rFonts w:hint="eastAsia" w:asciiTheme="minorEastAsia" w:hAnsiTheme="minorEastAsia"/>
          <w:color w:val="auto"/>
          <w:sz w:val="24"/>
          <w:highlight w:val="none"/>
        </w:rPr>
        <w:t>如因乙方运力不足造成甲方公司增加</w:t>
      </w:r>
      <w:r>
        <w:rPr>
          <w:rFonts w:asciiTheme="minorEastAsia" w:hAnsiTheme="minorEastAsia"/>
          <w:color w:val="auto"/>
          <w:sz w:val="24"/>
          <w:highlight w:val="none"/>
        </w:rPr>
        <w:t>生产</w:t>
      </w:r>
      <w:r>
        <w:rPr>
          <w:rFonts w:hint="eastAsia" w:asciiTheme="minorEastAsia" w:hAnsiTheme="minorEastAsia"/>
          <w:color w:val="auto"/>
          <w:sz w:val="24"/>
          <w:highlight w:val="none"/>
        </w:rPr>
        <w:t>成本</w:t>
      </w:r>
      <w:r>
        <w:rPr>
          <w:rFonts w:asciiTheme="minorEastAsia" w:hAnsiTheme="minorEastAsia"/>
          <w:color w:val="auto"/>
          <w:sz w:val="24"/>
          <w:highlight w:val="none"/>
        </w:rPr>
        <w:t>或</w:t>
      </w:r>
      <w:r>
        <w:rPr>
          <w:rFonts w:hint="eastAsia" w:asciiTheme="minorEastAsia" w:hAnsiTheme="minorEastAsia"/>
          <w:color w:val="auto"/>
          <w:sz w:val="24"/>
          <w:highlight w:val="none"/>
        </w:rPr>
        <w:t>停产的，乙方须承担由此造成的一切损失，并且甲方有权单方面解除合同，运输保证金不予退还，甲方保留后续追索的权利，甲方公司有权单方面决定不准其参与往后的业务洽谈及签订。</w:t>
      </w:r>
    </w:p>
    <w:p>
      <w:pPr>
        <w:numPr>
          <w:ilvl w:val="0"/>
          <w:numId w:val="17"/>
        </w:numPr>
        <w:spacing w:line="360" w:lineRule="auto"/>
        <w:ind w:firstLine="480" w:firstLineChars="200"/>
        <w:rPr>
          <w:rFonts w:asciiTheme="minorEastAsia" w:hAnsiTheme="minorEastAsia"/>
          <w:color w:val="auto"/>
          <w:sz w:val="24"/>
          <w:highlight w:val="none"/>
        </w:rPr>
      </w:pPr>
      <w:r>
        <w:rPr>
          <w:rFonts w:hint="eastAsia" w:asciiTheme="minorEastAsia" w:hAnsiTheme="minorEastAsia"/>
          <w:color w:val="auto"/>
          <w:sz w:val="24"/>
          <w:highlight w:val="none"/>
        </w:rPr>
        <w:t>乙方车辆在甲方工厂装运食糖，离开工厂大门后，如乙方司机未按规定将承载食糖做好篷布遮盖，或是处于裸露状态，经甲方发现拍照留证后，将按1000元/次进行处罚乙方，同时如因此造成的食糖脏/潮/破包的，乙方须承担所有责任。</w:t>
      </w:r>
    </w:p>
    <w:p>
      <w:pPr>
        <w:numPr>
          <w:ilvl w:val="0"/>
          <w:numId w:val="17"/>
        </w:numPr>
        <w:spacing w:line="360" w:lineRule="auto"/>
        <w:ind w:firstLine="480" w:firstLineChars="200"/>
        <w:rPr>
          <w:rFonts w:asciiTheme="minorEastAsia" w:hAnsiTheme="minorEastAsia"/>
          <w:color w:val="auto"/>
          <w:sz w:val="24"/>
          <w:highlight w:val="none"/>
        </w:rPr>
      </w:pPr>
      <w:r>
        <w:rPr>
          <w:rFonts w:hint="eastAsia" w:asciiTheme="minorEastAsia" w:hAnsiTheme="minorEastAsia"/>
          <w:color w:val="auto"/>
          <w:sz w:val="24"/>
          <w:highlight w:val="none"/>
        </w:rPr>
        <w:t>甲方在开榨期间24小时不间断生产，乙方须按甲方的生产要求及时派遣车辆，在收到甲方提前2天提供的计划并确认后，乙方仍无法在业务要求当天向工厂派出充足车辆承运食糖至指定地点的，经甲方口头、文件、邮件沟通仍无法解决满足生产要求的承运车辆的，甲方有权视情况罚款1000元/次（视发送违约情况通知函为准），且乙方须完成所欠计划量。如造成甲方工厂生产停机的，甲方有权另行调配车辆承运，其产生的运输差价由乙方进行承担，同时乙方还需承担赔偿责任。</w:t>
      </w:r>
    </w:p>
    <w:p>
      <w:pPr>
        <w:numPr>
          <w:ilvl w:val="0"/>
          <w:numId w:val="17"/>
        </w:numPr>
        <w:spacing w:line="360" w:lineRule="auto"/>
        <w:ind w:firstLine="480" w:firstLineChars="200"/>
        <w:rPr>
          <w:rFonts w:asciiTheme="minorEastAsia" w:hAnsiTheme="minorEastAsia"/>
          <w:color w:val="auto"/>
          <w:sz w:val="24"/>
          <w:highlight w:val="none"/>
        </w:rPr>
      </w:pPr>
      <w:r>
        <w:rPr>
          <w:rFonts w:hint="eastAsia" w:asciiTheme="minorEastAsia" w:hAnsiTheme="minorEastAsia"/>
          <w:color w:val="auto"/>
          <w:sz w:val="24"/>
          <w:highlight w:val="none"/>
        </w:rPr>
        <w:t>因运输过程中产生的货损及货物灭失，在双方确认后由乙方进行承担，具体单价按约定日的“泛糖现货购销平台”当日结算价为参考。</w:t>
      </w:r>
    </w:p>
    <w:p>
      <w:pPr>
        <w:numPr>
          <w:ilvl w:val="0"/>
          <w:numId w:val="17"/>
        </w:numPr>
        <w:spacing w:line="360" w:lineRule="auto"/>
        <w:ind w:firstLine="480" w:firstLineChars="200"/>
        <w:rPr>
          <w:rFonts w:asciiTheme="minorEastAsia" w:hAnsiTheme="minorEastAsia"/>
          <w:color w:val="auto"/>
          <w:sz w:val="24"/>
          <w:highlight w:val="none"/>
        </w:rPr>
      </w:pPr>
      <w:r>
        <w:rPr>
          <w:rFonts w:hint="eastAsia" w:asciiTheme="minorEastAsia" w:hAnsiTheme="minorEastAsia"/>
          <w:color w:val="auto"/>
          <w:sz w:val="24"/>
          <w:highlight w:val="none"/>
        </w:rPr>
        <w:t>乙方司机、车辆或工作人员，造成人员伤亡或财产损毁的由乙方承担全部的法律责任及赔偿责任，在下达书面通知后，甲方有权从运费后履约保证金中扣除该赔偿金。</w:t>
      </w:r>
    </w:p>
    <w:p>
      <w:pPr>
        <w:numPr>
          <w:ilvl w:val="0"/>
          <w:numId w:val="17"/>
        </w:numPr>
        <w:spacing w:line="360" w:lineRule="auto"/>
        <w:ind w:firstLine="480" w:firstLineChars="200"/>
        <w:rPr>
          <w:rFonts w:asciiTheme="minorEastAsia" w:hAnsiTheme="minorEastAsia"/>
          <w:color w:val="auto"/>
          <w:sz w:val="24"/>
          <w:highlight w:val="none"/>
        </w:rPr>
      </w:pPr>
      <w:r>
        <w:rPr>
          <w:rFonts w:hint="eastAsia" w:asciiTheme="minorEastAsia" w:hAnsiTheme="minorEastAsia"/>
          <w:color w:val="auto"/>
          <w:sz w:val="24"/>
          <w:highlight w:val="none"/>
        </w:rPr>
        <w:t>如乙方逾期将货物运输至指定目的地的，每逾期一天，应按该批次运输货物总价值的0.3%向甲方支付违约金，逾期超过3天的，甲方有权单方面解除合同，解除通知到达乙方时生效，运输保证金有权不予退还，造成甲方损失的，乙方还应予赔偿。</w:t>
      </w:r>
    </w:p>
    <w:p>
      <w:pPr>
        <w:numPr>
          <w:ilvl w:val="0"/>
          <w:numId w:val="17"/>
        </w:numPr>
        <w:spacing w:line="360" w:lineRule="auto"/>
        <w:ind w:firstLine="480" w:firstLineChars="200"/>
        <w:rPr>
          <w:rFonts w:asciiTheme="minorEastAsia" w:hAnsiTheme="minorEastAsia"/>
          <w:color w:val="auto"/>
          <w:sz w:val="24"/>
          <w:highlight w:val="none"/>
        </w:rPr>
      </w:pPr>
      <w:r>
        <w:rPr>
          <w:rFonts w:hint="eastAsia" w:asciiTheme="minorEastAsia" w:hAnsiTheme="minorEastAsia"/>
          <w:color w:val="auto"/>
          <w:sz w:val="24"/>
          <w:highlight w:val="none"/>
        </w:rPr>
        <w:t>乙方如将承运货物错运到货地点或接货人的，应无偿在规定时间内运送至实际到货目的地，预期按合同第七条第9点执行。</w:t>
      </w:r>
    </w:p>
    <w:p>
      <w:pPr>
        <w:numPr>
          <w:ilvl w:val="0"/>
          <w:numId w:val="17"/>
        </w:numPr>
        <w:spacing w:line="360" w:lineRule="auto"/>
        <w:ind w:firstLine="480" w:firstLineChars="200"/>
        <w:rPr>
          <w:rFonts w:asciiTheme="minorEastAsia" w:hAnsiTheme="minorEastAsia"/>
          <w:color w:val="auto"/>
          <w:sz w:val="24"/>
          <w:highlight w:val="none"/>
        </w:rPr>
      </w:pPr>
      <w:r>
        <w:rPr>
          <w:rFonts w:hint="eastAsia" w:asciiTheme="minorEastAsia" w:hAnsiTheme="minorEastAsia"/>
          <w:color w:val="auto"/>
          <w:sz w:val="24"/>
          <w:highlight w:val="none"/>
        </w:rPr>
        <w:t>本合同有效期内，除不可抗力及本合同约定的情形外，甲乙任何一方不得违约单方面解除合同，否则违约方应赔偿另一方因此造成的经济损失。</w:t>
      </w:r>
    </w:p>
    <w:p>
      <w:pPr>
        <w:spacing w:line="276" w:lineRule="auto"/>
        <w:rPr>
          <w:rFonts w:cs="宋体" w:asciiTheme="minorEastAsia" w:hAnsiTheme="minorEastAsia"/>
          <w:color w:val="auto"/>
          <w:kern w:val="0"/>
          <w:sz w:val="24"/>
          <w:highlight w:val="none"/>
        </w:rPr>
      </w:pPr>
    </w:p>
    <w:p>
      <w:pPr>
        <w:spacing w:line="276" w:lineRule="auto"/>
        <w:rPr>
          <w:rFonts w:cs="宋体" w:asciiTheme="minorEastAsia" w:hAnsiTheme="minorEastAsia"/>
          <w:color w:val="auto"/>
          <w:kern w:val="0"/>
          <w:sz w:val="24"/>
          <w:highlight w:val="none"/>
        </w:rPr>
      </w:pPr>
    </w:p>
    <w:p>
      <w:pPr>
        <w:spacing w:line="276" w:lineRule="auto"/>
        <w:rPr>
          <w:rFonts w:cs="宋体" w:asciiTheme="minorEastAsia" w:hAnsiTheme="minorEastAsia"/>
          <w:color w:val="auto"/>
          <w:kern w:val="0"/>
          <w:sz w:val="24"/>
          <w:highlight w:val="none"/>
        </w:rPr>
      </w:pPr>
    </w:p>
    <w:p>
      <w:pPr>
        <w:numPr>
          <w:ilvl w:val="0"/>
          <w:numId w:val="1"/>
        </w:numPr>
        <w:spacing w:line="276" w:lineRule="auto"/>
        <w:rPr>
          <w:rFonts w:asciiTheme="minorEastAsia" w:hAnsiTheme="minorEastAsia"/>
          <w:b/>
          <w:bCs/>
          <w:color w:val="auto"/>
          <w:sz w:val="24"/>
          <w:highlight w:val="none"/>
        </w:rPr>
      </w:pPr>
      <w:r>
        <w:rPr>
          <w:rFonts w:hint="eastAsia" w:asciiTheme="minorEastAsia" w:hAnsiTheme="minorEastAsia"/>
          <w:b/>
          <w:bCs/>
          <w:color w:val="auto"/>
          <w:sz w:val="24"/>
          <w:highlight w:val="none"/>
        </w:rPr>
        <w:t>争议的解决条款</w:t>
      </w:r>
    </w:p>
    <w:p>
      <w:pPr>
        <w:spacing w:line="276" w:lineRule="auto"/>
        <w:rPr>
          <w:rFonts w:asciiTheme="minorEastAsia" w:hAnsiTheme="minorEastAsia"/>
          <w:b/>
          <w:bCs/>
          <w:color w:val="auto"/>
          <w:sz w:val="24"/>
          <w:highlight w:val="none"/>
        </w:rPr>
      </w:pPr>
    </w:p>
    <w:p>
      <w:pPr>
        <w:spacing w:line="360" w:lineRule="auto"/>
        <w:ind w:left="141" w:leftChars="67" w:firstLine="276" w:firstLineChars="115"/>
        <w:rPr>
          <w:rFonts w:asciiTheme="minorEastAsia" w:hAnsiTheme="minorEastAsia"/>
          <w:color w:val="auto"/>
          <w:sz w:val="24"/>
          <w:highlight w:val="none"/>
        </w:rPr>
      </w:pPr>
      <w:r>
        <w:rPr>
          <w:rFonts w:hint="eastAsia" w:asciiTheme="minorEastAsia" w:hAnsiTheme="minorEastAsia"/>
          <w:color w:val="auto"/>
          <w:sz w:val="24"/>
          <w:highlight w:val="none"/>
        </w:rPr>
        <w:t xml:space="preserve">双方因履行本合同而发生的争议，应协商、调解解决。协商、调解不成的，双方同意向甲方所在地的人民法院提起诉讼，因诉讼而产生的费用（包含但不限于诉讼费、律师费、保全费、保险费等等）均为违约方承担。  </w:t>
      </w:r>
    </w:p>
    <w:p>
      <w:pPr>
        <w:spacing w:line="276" w:lineRule="auto"/>
        <w:rPr>
          <w:rFonts w:asciiTheme="minorEastAsia" w:hAnsiTheme="minorEastAsia"/>
          <w:color w:val="auto"/>
          <w:sz w:val="24"/>
          <w:highlight w:val="none"/>
        </w:rPr>
      </w:pPr>
    </w:p>
    <w:p>
      <w:pPr>
        <w:numPr>
          <w:ilvl w:val="0"/>
          <w:numId w:val="1"/>
        </w:numPr>
        <w:spacing w:line="276" w:lineRule="auto"/>
        <w:outlineLvl w:val="0"/>
        <w:rPr>
          <w:rFonts w:asciiTheme="minorEastAsia" w:hAnsiTheme="minorEastAsia"/>
          <w:b/>
          <w:bCs/>
          <w:color w:val="auto"/>
          <w:sz w:val="24"/>
          <w:highlight w:val="none"/>
        </w:rPr>
      </w:pPr>
      <w:r>
        <w:rPr>
          <w:rFonts w:hint="eastAsia" w:asciiTheme="minorEastAsia" w:hAnsiTheme="minorEastAsia"/>
          <w:b/>
          <w:bCs/>
          <w:color w:val="auto"/>
          <w:sz w:val="24"/>
          <w:highlight w:val="none"/>
        </w:rPr>
        <w:t>合同的修改</w:t>
      </w:r>
    </w:p>
    <w:p>
      <w:pPr>
        <w:spacing w:line="276" w:lineRule="auto"/>
        <w:outlineLvl w:val="0"/>
        <w:rPr>
          <w:rFonts w:asciiTheme="minorEastAsia" w:hAnsiTheme="minorEastAsia"/>
          <w:color w:val="auto"/>
          <w:sz w:val="24"/>
          <w:highlight w:val="none"/>
        </w:rPr>
      </w:pPr>
    </w:p>
    <w:p>
      <w:pPr>
        <w:spacing w:line="360" w:lineRule="auto"/>
        <w:ind w:left="420" w:leftChars="200" w:firstLine="480" w:firstLineChars="200"/>
        <w:rPr>
          <w:rFonts w:asciiTheme="minorEastAsia" w:hAnsiTheme="minorEastAsia"/>
          <w:color w:val="auto"/>
          <w:sz w:val="24"/>
          <w:highlight w:val="none"/>
        </w:rPr>
      </w:pPr>
      <w:r>
        <w:rPr>
          <w:rFonts w:hint="eastAsia" w:asciiTheme="minorEastAsia" w:hAnsiTheme="minorEastAsia"/>
          <w:color w:val="auto"/>
          <w:sz w:val="24"/>
          <w:highlight w:val="none"/>
        </w:rPr>
        <w:t>除非甲乙双方另行约定，本合同构成双方之间有关本合同事宜的完整合同，任何单方面的、非书面的或未经签署的备忘录或协议均不得构成对本合同的变更、补充或删减。</w:t>
      </w:r>
    </w:p>
    <w:p>
      <w:pPr>
        <w:spacing w:line="360" w:lineRule="auto"/>
        <w:ind w:left="420" w:leftChars="200" w:firstLine="480" w:firstLineChars="200"/>
        <w:rPr>
          <w:rFonts w:asciiTheme="minorEastAsia" w:hAnsiTheme="minorEastAsia"/>
          <w:color w:val="auto"/>
          <w:sz w:val="24"/>
          <w:highlight w:val="none"/>
        </w:rPr>
      </w:pPr>
      <w:r>
        <w:rPr>
          <w:rFonts w:hint="eastAsia" w:asciiTheme="minorEastAsia" w:hAnsiTheme="minorEastAsia"/>
          <w:color w:val="auto"/>
          <w:sz w:val="24"/>
          <w:highlight w:val="none"/>
        </w:rPr>
        <w:t>除非通过书面方式并双方签字盖章确认后对本合同出具补充协议，甲乙双方中任何一方不得对合同的内容进行修改。合同签订时须加盖骑缝章。</w:t>
      </w:r>
    </w:p>
    <w:p>
      <w:pPr>
        <w:spacing w:line="276" w:lineRule="auto"/>
        <w:ind w:left="420" w:leftChars="200" w:firstLine="480" w:firstLineChars="200"/>
        <w:rPr>
          <w:rFonts w:asciiTheme="minorEastAsia" w:hAnsiTheme="minorEastAsia"/>
          <w:color w:val="auto"/>
          <w:sz w:val="24"/>
          <w:highlight w:val="none"/>
        </w:rPr>
      </w:pPr>
    </w:p>
    <w:p>
      <w:pPr>
        <w:numPr>
          <w:ilvl w:val="0"/>
          <w:numId w:val="1"/>
        </w:numPr>
        <w:spacing w:line="276" w:lineRule="auto"/>
        <w:outlineLvl w:val="0"/>
        <w:rPr>
          <w:rFonts w:asciiTheme="minorEastAsia" w:hAnsiTheme="minorEastAsia"/>
          <w:b/>
          <w:bCs/>
          <w:color w:val="auto"/>
          <w:sz w:val="24"/>
          <w:highlight w:val="none"/>
        </w:rPr>
      </w:pPr>
      <w:r>
        <w:rPr>
          <w:rFonts w:hint="eastAsia" w:asciiTheme="minorEastAsia" w:hAnsiTheme="minorEastAsia"/>
          <w:b/>
          <w:bCs/>
          <w:color w:val="auto"/>
          <w:sz w:val="24"/>
          <w:highlight w:val="none"/>
        </w:rPr>
        <w:t>廉政条款</w:t>
      </w:r>
    </w:p>
    <w:p>
      <w:pPr>
        <w:spacing w:line="360" w:lineRule="auto"/>
        <w:ind w:left="420" w:leftChars="200" w:firstLine="480" w:firstLineChars="200"/>
        <w:rPr>
          <w:rFonts w:asciiTheme="minorEastAsia" w:hAnsiTheme="minorEastAsia"/>
          <w:color w:val="auto"/>
          <w:sz w:val="24"/>
          <w:highlight w:val="none"/>
        </w:rPr>
      </w:pPr>
      <w:r>
        <w:rPr>
          <w:rFonts w:hint="eastAsia" w:asciiTheme="minorEastAsia" w:hAnsiTheme="minorEastAsia"/>
          <w:color w:val="auto"/>
          <w:sz w:val="24"/>
          <w:highlight w:val="none"/>
        </w:rPr>
        <w:t>双方保证，在合同履行期间，任何一方不得以任何形式给予对方有关工作人员或其授权代理个人工作之外的利益或馈赠，包括但不限于现金、礼券、礼品、购物卡、宴请等，如有一方违反，另一方有权终止或解除合同，并不承担任何违约责任。</w:t>
      </w:r>
    </w:p>
    <w:p>
      <w:pPr>
        <w:spacing w:line="276" w:lineRule="auto"/>
        <w:outlineLvl w:val="0"/>
        <w:rPr>
          <w:rFonts w:asciiTheme="minorEastAsia" w:hAnsiTheme="minorEastAsia"/>
          <w:b/>
          <w:bCs/>
          <w:color w:val="auto"/>
          <w:sz w:val="24"/>
          <w:highlight w:val="none"/>
        </w:rPr>
      </w:pPr>
    </w:p>
    <w:p>
      <w:pPr>
        <w:numPr>
          <w:ilvl w:val="0"/>
          <w:numId w:val="1"/>
        </w:numPr>
        <w:spacing w:line="276" w:lineRule="auto"/>
        <w:outlineLvl w:val="0"/>
        <w:rPr>
          <w:rFonts w:asciiTheme="minorEastAsia" w:hAnsiTheme="minorEastAsia"/>
          <w:b/>
          <w:bCs/>
          <w:color w:val="auto"/>
          <w:sz w:val="24"/>
          <w:highlight w:val="none"/>
        </w:rPr>
      </w:pPr>
      <w:r>
        <w:rPr>
          <w:rFonts w:hint="eastAsia" w:asciiTheme="minorEastAsia" w:hAnsiTheme="minorEastAsia"/>
          <w:b/>
          <w:bCs/>
          <w:color w:val="auto"/>
          <w:sz w:val="24"/>
          <w:highlight w:val="none"/>
        </w:rPr>
        <w:t>其它</w:t>
      </w:r>
    </w:p>
    <w:p>
      <w:pPr>
        <w:spacing w:line="276" w:lineRule="auto"/>
        <w:outlineLvl w:val="0"/>
        <w:rPr>
          <w:rFonts w:asciiTheme="minorEastAsia" w:hAnsiTheme="minorEastAsia"/>
          <w:b/>
          <w:bCs/>
          <w:color w:val="auto"/>
          <w:sz w:val="24"/>
          <w:highlight w:val="none"/>
        </w:rPr>
      </w:pPr>
    </w:p>
    <w:p>
      <w:pPr>
        <w:spacing w:line="360" w:lineRule="auto"/>
        <w:ind w:left="420" w:leftChars="200" w:firstLine="480" w:firstLineChars="200"/>
        <w:outlineLvl w:val="0"/>
        <w:rPr>
          <w:rFonts w:asciiTheme="minorEastAsia" w:hAnsiTheme="minorEastAsia"/>
          <w:color w:val="auto"/>
          <w:sz w:val="24"/>
          <w:highlight w:val="none"/>
        </w:rPr>
      </w:pPr>
      <w:r>
        <w:rPr>
          <w:rFonts w:asciiTheme="minorEastAsia" w:hAnsiTheme="minorEastAsia"/>
          <w:color w:val="auto"/>
          <w:sz w:val="24"/>
          <w:highlight w:val="none"/>
        </w:rPr>
        <w:t>本协议一式肆份，双方各</w:t>
      </w:r>
      <w:r>
        <w:rPr>
          <w:rFonts w:hint="eastAsia" w:asciiTheme="minorEastAsia" w:hAnsiTheme="minorEastAsia"/>
          <w:color w:val="auto"/>
          <w:sz w:val="24"/>
          <w:highlight w:val="none"/>
        </w:rPr>
        <w:t>执贰</w:t>
      </w:r>
      <w:r>
        <w:rPr>
          <w:rFonts w:asciiTheme="minorEastAsia" w:hAnsiTheme="minorEastAsia"/>
          <w:color w:val="auto"/>
          <w:sz w:val="24"/>
          <w:highlight w:val="none"/>
        </w:rPr>
        <w:t>份，</w:t>
      </w:r>
      <w:r>
        <w:rPr>
          <w:rFonts w:hint="eastAsia" w:asciiTheme="minorEastAsia" w:hAnsiTheme="minorEastAsia"/>
          <w:color w:val="auto"/>
          <w:sz w:val="24"/>
          <w:highlight w:val="none"/>
        </w:rPr>
        <w:t>自双方法定代表人或授权代表签字并加盖公章之日起生效，有效期至2021年09月30日止，自协议生效之日起生效。</w:t>
      </w:r>
      <w:r>
        <w:rPr>
          <w:rFonts w:asciiTheme="minorEastAsia" w:hAnsiTheme="minorEastAsia"/>
          <w:b/>
          <w:color w:val="auto"/>
          <w:sz w:val="24"/>
          <w:highlight w:val="none"/>
        </w:rPr>
        <w:t>如在前述</w:t>
      </w:r>
      <w:r>
        <w:rPr>
          <w:rFonts w:hint="eastAsia" w:asciiTheme="minorEastAsia" w:hAnsiTheme="minorEastAsia"/>
          <w:b/>
          <w:color w:val="auto"/>
          <w:sz w:val="24"/>
          <w:highlight w:val="none"/>
        </w:rPr>
        <w:t>有效期</w:t>
      </w:r>
      <w:r>
        <w:rPr>
          <w:rFonts w:asciiTheme="minorEastAsia" w:hAnsiTheme="minorEastAsia"/>
          <w:b/>
          <w:color w:val="auto"/>
          <w:sz w:val="24"/>
          <w:highlight w:val="none"/>
        </w:rPr>
        <w:t>届满之日甲方</w:t>
      </w:r>
      <w:r>
        <w:rPr>
          <w:rFonts w:hint="eastAsia" w:asciiTheme="minorEastAsia" w:hAnsiTheme="minorEastAsia"/>
          <w:b/>
          <w:color w:val="auto"/>
          <w:sz w:val="24"/>
          <w:highlight w:val="none"/>
        </w:rPr>
        <w:t>在</w:t>
      </w:r>
      <w:r>
        <w:rPr>
          <w:rFonts w:asciiTheme="minorEastAsia" w:hAnsiTheme="minorEastAsia"/>
          <w:b/>
          <w:color w:val="auto"/>
          <w:sz w:val="24"/>
          <w:highlight w:val="none"/>
        </w:rPr>
        <w:t>乙方</w:t>
      </w:r>
      <w:r>
        <w:rPr>
          <w:rFonts w:hint="eastAsia" w:asciiTheme="minorEastAsia" w:hAnsiTheme="minorEastAsia"/>
          <w:b/>
          <w:color w:val="auto"/>
          <w:sz w:val="24"/>
          <w:highlight w:val="none"/>
        </w:rPr>
        <w:t>的委托未完全交付完成给甲方指定的接收人的</w:t>
      </w:r>
      <w:r>
        <w:rPr>
          <w:rFonts w:asciiTheme="minorEastAsia" w:hAnsiTheme="minorEastAsia"/>
          <w:b/>
          <w:color w:val="auto"/>
          <w:sz w:val="24"/>
          <w:highlight w:val="none"/>
        </w:rPr>
        <w:t>，</w:t>
      </w:r>
      <w:r>
        <w:rPr>
          <w:rFonts w:hint="eastAsia" w:asciiTheme="minorEastAsia" w:hAnsiTheme="minorEastAsia"/>
          <w:b/>
          <w:color w:val="auto"/>
          <w:sz w:val="24"/>
          <w:highlight w:val="none"/>
        </w:rPr>
        <w:t>则本协议</w:t>
      </w:r>
      <w:r>
        <w:rPr>
          <w:rFonts w:asciiTheme="minorEastAsia" w:hAnsiTheme="minorEastAsia"/>
          <w:b/>
          <w:color w:val="auto"/>
          <w:sz w:val="24"/>
          <w:highlight w:val="none"/>
        </w:rPr>
        <w:t>自动延续至</w:t>
      </w:r>
      <w:r>
        <w:rPr>
          <w:rFonts w:hint="eastAsia" w:asciiTheme="minorEastAsia" w:hAnsiTheme="minorEastAsia"/>
          <w:b/>
          <w:color w:val="auto"/>
          <w:sz w:val="24"/>
          <w:highlight w:val="none"/>
        </w:rPr>
        <w:t>甲方在</w:t>
      </w:r>
      <w:r>
        <w:rPr>
          <w:rFonts w:asciiTheme="minorEastAsia" w:hAnsiTheme="minorEastAsia"/>
          <w:b/>
          <w:color w:val="auto"/>
          <w:sz w:val="24"/>
          <w:highlight w:val="none"/>
        </w:rPr>
        <w:t>乙方</w:t>
      </w:r>
      <w:r>
        <w:rPr>
          <w:rFonts w:hint="eastAsia" w:asciiTheme="minorEastAsia" w:hAnsiTheme="minorEastAsia"/>
          <w:b/>
          <w:color w:val="auto"/>
          <w:sz w:val="24"/>
          <w:highlight w:val="none"/>
        </w:rPr>
        <w:t>的委托完全交付给甲方指定的接收人</w:t>
      </w:r>
      <w:r>
        <w:rPr>
          <w:rFonts w:asciiTheme="minorEastAsia" w:hAnsiTheme="minorEastAsia"/>
          <w:b/>
          <w:color w:val="auto"/>
          <w:sz w:val="24"/>
          <w:highlight w:val="none"/>
        </w:rPr>
        <w:t>完毕为止</w:t>
      </w:r>
      <w:r>
        <w:rPr>
          <w:rFonts w:hint="eastAsia" w:asciiTheme="minorEastAsia" w:hAnsiTheme="minorEastAsia"/>
          <w:color w:val="auto"/>
          <w:sz w:val="24"/>
          <w:highlight w:val="none"/>
        </w:rPr>
        <w:t>。</w:t>
      </w:r>
    </w:p>
    <w:p>
      <w:pPr>
        <w:spacing w:line="276" w:lineRule="auto"/>
        <w:outlineLvl w:val="0"/>
        <w:rPr>
          <w:rFonts w:asciiTheme="minorEastAsia" w:hAnsiTheme="minorEastAsia"/>
          <w:color w:val="auto"/>
          <w:sz w:val="24"/>
          <w:highlight w:val="none"/>
        </w:rPr>
      </w:pPr>
    </w:p>
    <w:p>
      <w:pPr>
        <w:numPr>
          <w:ilvl w:val="0"/>
          <w:numId w:val="1"/>
        </w:numPr>
        <w:spacing w:line="276" w:lineRule="auto"/>
        <w:outlineLvl w:val="0"/>
        <w:rPr>
          <w:rFonts w:asciiTheme="minorEastAsia" w:hAnsiTheme="minorEastAsia"/>
          <w:b/>
          <w:bCs/>
          <w:color w:val="auto"/>
          <w:sz w:val="24"/>
          <w:highlight w:val="none"/>
        </w:rPr>
      </w:pPr>
      <w:r>
        <w:rPr>
          <w:rFonts w:hint="eastAsia" w:asciiTheme="minorEastAsia" w:hAnsiTheme="minorEastAsia"/>
          <w:b/>
          <w:bCs/>
          <w:color w:val="auto"/>
          <w:sz w:val="24"/>
          <w:highlight w:val="none"/>
        </w:rPr>
        <w:t>协议附件</w:t>
      </w:r>
    </w:p>
    <w:p>
      <w:pPr>
        <w:spacing w:line="276" w:lineRule="auto"/>
        <w:outlineLvl w:val="0"/>
        <w:rPr>
          <w:rFonts w:asciiTheme="minorEastAsia" w:hAnsiTheme="minorEastAsia"/>
          <w:color w:val="auto"/>
          <w:sz w:val="24"/>
          <w:highlight w:val="none"/>
        </w:rPr>
      </w:pPr>
    </w:p>
    <w:p>
      <w:pPr>
        <w:snapToGrid w:val="0"/>
        <w:spacing w:line="360" w:lineRule="auto"/>
        <w:ind w:firstLine="480" w:firstLineChars="200"/>
        <w:rPr>
          <w:rFonts w:asciiTheme="minorEastAsia" w:hAnsiTheme="minorEastAsia"/>
          <w:color w:val="auto"/>
          <w:sz w:val="24"/>
          <w:highlight w:val="none"/>
        </w:rPr>
      </w:pPr>
      <w:r>
        <w:rPr>
          <w:rFonts w:hint="eastAsia" w:asciiTheme="minorEastAsia" w:hAnsiTheme="minorEastAsia"/>
          <w:color w:val="auto"/>
          <w:sz w:val="24"/>
          <w:highlight w:val="none"/>
        </w:rPr>
        <w:t>本</w:t>
      </w:r>
      <w:r>
        <w:rPr>
          <w:rFonts w:asciiTheme="minorEastAsia" w:hAnsiTheme="minorEastAsia"/>
          <w:color w:val="auto"/>
          <w:sz w:val="24"/>
          <w:highlight w:val="none"/>
        </w:rPr>
        <w:t>协议附件为本协议的有效组成部分，与本协议具有同等效力。本</w:t>
      </w:r>
      <w:r>
        <w:rPr>
          <w:rFonts w:hint="eastAsia" w:asciiTheme="minorEastAsia" w:hAnsiTheme="minorEastAsia"/>
          <w:color w:val="auto"/>
          <w:sz w:val="24"/>
          <w:highlight w:val="none"/>
        </w:rPr>
        <w:t>协议</w:t>
      </w:r>
      <w:r>
        <w:rPr>
          <w:rFonts w:asciiTheme="minorEastAsia" w:hAnsiTheme="minorEastAsia"/>
          <w:color w:val="auto"/>
          <w:sz w:val="24"/>
          <w:highlight w:val="none"/>
        </w:rPr>
        <w:t>的附件包括：甲、乙双方经过最近年审的工商营业执照一份</w:t>
      </w:r>
      <w:r>
        <w:rPr>
          <w:rFonts w:hint="eastAsia" w:asciiTheme="minorEastAsia" w:hAnsiTheme="minorEastAsia"/>
          <w:color w:val="auto"/>
          <w:sz w:val="24"/>
          <w:highlight w:val="none"/>
        </w:rPr>
        <w:t>。</w:t>
      </w:r>
    </w:p>
    <w:p>
      <w:pPr>
        <w:outlineLvl w:val="0"/>
        <w:rPr>
          <w:color w:val="auto"/>
          <w:sz w:val="24"/>
          <w:highlight w:val="none"/>
        </w:rPr>
      </w:pPr>
    </w:p>
    <w:p>
      <w:pPr>
        <w:outlineLvl w:val="0"/>
        <w:rPr>
          <w:color w:val="auto"/>
          <w:sz w:val="24"/>
          <w:highlight w:val="none"/>
        </w:rPr>
      </w:pPr>
    </w:p>
    <w:p>
      <w:pPr>
        <w:outlineLvl w:val="0"/>
        <w:rPr>
          <w:color w:val="auto"/>
          <w:sz w:val="24"/>
          <w:highlight w:val="none"/>
        </w:rPr>
      </w:pPr>
    </w:p>
    <w:p>
      <w:pPr>
        <w:outlineLvl w:val="0"/>
        <w:rPr>
          <w:color w:val="auto"/>
          <w:sz w:val="24"/>
          <w:highlight w:val="none"/>
        </w:rPr>
      </w:pPr>
    </w:p>
    <w:p>
      <w:pPr>
        <w:outlineLvl w:val="0"/>
        <w:rPr>
          <w:color w:val="auto"/>
          <w:sz w:val="24"/>
          <w:highlight w:val="none"/>
        </w:rPr>
      </w:pPr>
    </w:p>
    <w:p>
      <w:pPr>
        <w:outlineLvl w:val="0"/>
        <w:rPr>
          <w:color w:val="auto"/>
          <w:sz w:val="24"/>
          <w:highlight w:val="none"/>
        </w:rPr>
      </w:pPr>
    </w:p>
    <w:p>
      <w:pPr>
        <w:outlineLvl w:val="0"/>
        <w:rPr>
          <w:color w:val="auto"/>
          <w:sz w:val="24"/>
          <w:highlight w:val="none"/>
        </w:rPr>
      </w:pPr>
    </w:p>
    <w:p>
      <w:pPr>
        <w:outlineLvl w:val="0"/>
        <w:rPr>
          <w:color w:val="auto"/>
          <w:sz w:val="24"/>
          <w:highlight w:val="none"/>
        </w:rPr>
      </w:pPr>
    </w:p>
    <w:p>
      <w:pPr>
        <w:outlineLvl w:val="0"/>
        <w:rPr>
          <w:color w:val="auto"/>
          <w:sz w:val="24"/>
          <w:highlight w:val="none"/>
        </w:rPr>
      </w:pPr>
    </w:p>
    <w:p>
      <w:pPr>
        <w:outlineLvl w:val="0"/>
        <w:rPr>
          <w:color w:val="auto"/>
          <w:sz w:val="24"/>
          <w:highlight w:val="none"/>
        </w:rPr>
      </w:pPr>
    </w:p>
    <w:p>
      <w:pPr>
        <w:outlineLvl w:val="0"/>
        <w:rPr>
          <w:color w:val="auto"/>
          <w:sz w:val="24"/>
          <w:highlight w:val="none"/>
        </w:rPr>
      </w:pPr>
    </w:p>
    <w:p>
      <w:pPr>
        <w:outlineLvl w:val="0"/>
        <w:rPr>
          <w:color w:val="auto"/>
          <w:sz w:val="24"/>
          <w:highlight w:val="none"/>
        </w:rPr>
      </w:pPr>
    </w:p>
    <w:p>
      <w:pPr>
        <w:outlineLvl w:val="0"/>
        <w:rPr>
          <w:color w:val="auto"/>
          <w:sz w:val="24"/>
          <w:highlight w:val="none"/>
        </w:rPr>
      </w:pPr>
    </w:p>
    <w:p>
      <w:pPr>
        <w:outlineLvl w:val="0"/>
        <w:rPr>
          <w:color w:val="auto"/>
          <w:sz w:val="24"/>
          <w:highlight w:val="none"/>
        </w:rPr>
      </w:pPr>
    </w:p>
    <w:p>
      <w:pPr>
        <w:outlineLvl w:val="0"/>
        <w:rPr>
          <w:color w:val="auto"/>
          <w:sz w:val="24"/>
          <w:highlight w:val="none"/>
        </w:rPr>
      </w:pPr>
    </w:p>
    <w:p>
      <w:pPr>
        <w:outlineLvl w:val="0"/>
        <w:rPr>
          <w:color w:val="auto"/>
          <w:sz w:val="24"/>
          <w:highlight w:val="none"/>
        </w:rPr>
      </w:pPr>
    </w:p>
    <w:p>
      <w:pPr>
        <w:outlineLvl w:val="0"/>
        <w:rPr>
          <w:color w:val="auto"/>
          <w:sz w:val="24"/>
          <w:highlight w:val="none"/>
        </w:rPr>
      </w:pPr>
    </w:p>
    <w:p>
      <w:pPr>
        <w:outlineLvl w:val="0"/>
        <w:rPr>
          <w:color w:val="auto"/>
          <w:sz w:val="24"/>
          <w:highlight w:val="none"/>
        </w:rPr>
      </w:pPr>
    </w:p>
    <w:p>
      <w:pPr>
        <w:outlineLvl w:val="0"/>
        <w:rPr>
          <w:color w:val="auto"/>
          <w:sz w:val="24"/>
          <w:highlight w:val="none"/>
        </w:rPr>
      </w:pPr>
    </w:p>
    <w:p>
      <w:pPr>
        <w:outlineLvl w:val="0"/>
        <w:rPr>
          <w:color w:val="auto"/>
          <w:sz w:val="24"/>
          <w:highlight w:val="none"/>
        </w:rPr>
      </w:pPr>
    </w:p>
    <w:p>
      <w:pPr>
        <w:outlineLvl w:val="0"/>
        <w:rPr>
          <w:color w:val="auto"/>
          <w:sz w:val="24"/>
          <w:highlight w:val="none"/>
        </w:rPr>
      </w:pPr>
    </w:p>
    <w:p>
      <w:pPr>
        <w:outlineLvl w:val="0"/>
        <w:rPr>
          <w:color w:val="auto"/>
          <w:sz w:val="24"/>
          <w:highlight w:val="none"/>
        </w:rPr>
      </w:pPr>
    </w:p>
    <w:p>
      <w:pPr>
        <w:outlineLvl w:val="0"/>
        <w:rPr>
          <w:color w:val="auto"/>
          <w:sz w:val="24"/>
          <w:highlight w:val="none"/>
        </w:rPr>
      </w:pPr>
    </w:p>
    <w:p>
      <w:pPr>
        <w:outlineLvl w:val="0"/>
        <w:rPr>
          <w:color w:val="auto"/>
          <w:sz w:val="24"/>
          <w:highlight w:val="none"/>
        </w:rPr>
      </w:pPr>
    </w:p>
    <w:p>
      <w:pPr>
        <w:snapToGrid w:val="0"/>
        <w:spacing w:line="360" w:lineRule="auto"/>
        <w:ind w:firstLine="480" w:firstLineChars="200"/>
        <w:rPr>
          <w:rFonts w:hAnsiTheme="minorEastAsia"/>
          <w:color w:val="auto"/>
          <w:sz w:val="24"/>
          <w:highlight w:val="none"/>
        </w:rPr>
      </w:pPr>
      <w:r>
        <w:rPr>
          <w:rFonts w:hint="eastAsia" w:hAnsiTheme="minorEastAsia"/>
          <w:color w:val="auto"/>
          <w:sz w:val="24"/>
          <w:highlight w:val="none"/>
        </w:rPr>
        <w:t>【此处下方</w:t>
      </w:r>
      <w:r>
        <w:rPr>
          <w:rFonts w:hAnsiTheme="minorEastAsia"/>
          <w:color w:val="auto"/>
          <w:sz w:val="24"/>
          <w:highlight w:val="none"/>
        </w:rPr>
        <w:t>无正文，为签署页</w:t>
      </w:r>
      <w:r>
        <w:rPr>
          <w:rFonts w:hint="eastAsia" w:hAnsiTheme="minorEastAsia"/>
          <w:color w:val="auto"/>
          <w:sz w:val="24"/>
          <w:highlight w:val="none"/>
        </w:rPr>
        <w:t>】</w:t>
      </w:r>
    </w:p>
    <w:p>
      <w:pPr>
        <w:snapToGrid w:val="0"/>
        <w:spacing w:line="360" w:lineRule="auto"/>
        <w:ind w:firstLine="472" w:firstLineChars="200"/>
        <w:rPr>
          <w:color w:val="auto"/>
          <w:spacing w:val="-2"/>
          <w:sz w:val="24"/>
          <w:highlight w:val="none"/>
        </w:rPr>
      </w:pPr>
      <w:r>
        <w:rPr>
          <w:color w:val="auto"/>
          <w:spacing w:val="-2"/>
          <w:sz w:val="24"/>
          <w:highlight w:val="none"/>
        </w:rPr>
        <w:t>甲方</w:t>
      </w:r>
      <w:r>
        <w:rPr>
          <w:rFonts w:hint="eastAsia"/>
          <w:color w:val="auto"/>
          <w:spacing w:val="-2"/>
          <w:sz w:val="24"/>
          <w:highlight w:val="none"/>
        </w:rPr>
        <w:t>（盖章）</w:t>
      </w:r>
      <w:r>
        <w:rPr>
          <w:color w:val="auto"/>
          <w:spacing w:val="-2"/>
          <w:sz w:val="24"/>
          <w:highlight w:val="none"/>
        </w:rPr>
        <w:t>：</w:t>
      </w:r>
    </w:p>
    <w:p>
      <w:pPr>
        <w:snapToGrid w:val="0"/>
        <w:spacing w:line="360" w:lineRule="auto"/>
        <w:ind w:firstLine="480" w:firstLineChars="200"/>
        <w:rPr>
          <w:color w:val="auto"/>
          <w:sz w:val="24"/>
          <w:highlight w:val="none"/>
        </w:rPr>
      </w:pPr>
      <w:r>
        <w:rPr>
          <w:rFonts w:hint="eastAsia"/>
          <w:color w:val="auto"/>
          <w:sz w:val="24"/>
          <w:highlight w:val="none"/>
        </w:rPr>
        <w:t>法定</w:t>
      </w:r>
      <w:r>
        <w:rPr>
          <w:color w:val="auto"/>
          <w:sz w:val="24"/>
          <w:highlight w:val="none"/>
        </w:rPr>
        <w:t>代表人：</w:t>
      </w:r>
    </w:p>
    <w:p>
      <w:pPr>
        <w:snapToGrid w:val="0"/>
        <w:spacing w:line="360" w:lineRule="auto"/>
        <w:ind w:firstLine="480" w:firstLineChars="200"/>
        <w:rPr>
          <w:color w:val="auto"/>
          <w:sz w:val="24"/>
          <w:highlight w:val="none"/>
        </w:rPr>
      </w:pPr>
    </w:p>
    <w:p>
      <w:pPr>
        <w:snapToGrid w:val="0"/>
        <w:spacing w:line="360" w:lineRule="auto"/>
        <w:ind w:firstLine="480" w:firstLineChars="200"/>
        <w:rPr>
          <w:rFonts w:hint="eastAsia" w:eastAsiaTheme="minorEastAsia"/>
          <w:color w:val="auto"/>
          <w:sz w:val="24"/>
          <w:highlight w:val="none"/>
          <w:lang w:eastAsia="zh-CN"/>
        </w:rPr>
      </w:pPr>
      <w:r>
        <w:rPr>
          <w:color w:val="auto"/>
          <w:sz w:val="24"/>
          <w:highlight w:val="none"/>
        </w:rPr>
        <w:t>或授权代表</w:t>
      </w:r>
      <w:r>
        <w:rPr>
          <w:rFonts w:hint="eastAsia"/>
          <w:color w:val="auto"/>
          <w:sz w:val="24"/>
          <w:highlight w:val="none"/>
          <w:lang w:eastAsia="zh-CN"/>
        </w:rPr>
        <w:t>：</w:t>
      </w:r>
    </w:p>
    <w:p>
      <w:pPr>
        <w:snapToGrid w:val="0"/>
        <w:spacing w:line="360" w:lineRule="auto"/>
        <w:ind w:firstLine="480" w:firstLineChars="200"/>
        <w:rPr>
          <w:color w:val="auto"/>
          <w:sz w:val="24"/>
          <w:highlight w:val="none"/>
        </w:rPr>
      </w:pPr>
    </w:p>
    <w:p>
      <w:pPr>
        <w:snapToGrid w:val="0"/>
        <w:spacing w:line="360" w:lineRule="auto"/>
        <w:ind w:firstLine="480" w:firstLineChars="200"/>
        <w:rPr>
          <w:color w:val="auto"/>
          <w:sz w:val="24"/>
          <w:highlight w:val="none"/>
        </w:rPr>
      </w:pPr>
    </w:p>
    <w:p>
      <w:pPr>
        <w:snapToGrid w:val="0"/>
        <w:spacing w:line="360" w:lineRule="auto"/>
        <w:ind w:firstLine="480" w:firstLineChars="200"/>
        <w:rPr>
          <w:color w:val="auto"/>
          <w:sz w:val="24"/>
          <w:highlight w:val="none"/>
        </w:rPr>
      </w:pPr>
    </w:p>
    <w:p>
      <w:pPr>
        <w:snapToGrid w:val="0"/>
        <w:spacing w:line="360" w:lineRule="auto"/>
        <w:ind w:firstLine="480" w:firstLineChars="200"/>
        <w:rPr>
          <w:color w:val="auto"/>
          <w:sz w:val="24"/>
          <w:highlight w:val="none"/>
        </w:rPr>
      </w:pPr>
      <w:r>
        <w:rPr>
          <w:color w:val="auto"/>
          <w:sz w:val="24"/>
          <w:highlight w:val="none"/>
        </w:rPr>
        <w:t>乙方</w:t>
      </w:r>
      <w:r>
        <w:rPr>
          <w:rFonts w:hint="eastAsia" w:hAnsiTheme="minorEastAsia"/>
          <w:color w:val="auto"/>
          <w:sz w:val="24"/>
          <w:highlight w:val="none"/>
        </w:rPr>
        <w:t>（盖章）</w:t>
      </w:r>
      <w:r>
        <w:rPr>
          <w:color w:val="auto"/>
          <w:sz w:val="24"/>
          <w:highlight w:val="none"/>
        </w:rPr>
        <w:t>：</w:t>
      </w:r>
    </w:p>
    <w:p>
      <w:pPr>
        <w:snapToGrid w:val="0"/>
        <w:spacing w:line="360" w:lineRule="auto"/>
        <w:ind w:firstLine="480" w:firstLineChars="200"/>
        <w:rPr>
          <w:color w:val="auto"/>
          <w:sz w:val="24"/>
          <w:highlight w:val="none"/>
        </w:rPr>
      </w:pPr>
      <w:r>
        <w:rPr>
          <w:rFonts w:hint="eastAsia"/>
          <w:color w:val="auto"/>
          <w:sz w:val="24"/>
          <w:highlight w:val="none"/>
        </w:rPr>
        <w:t>法定</w:t>
      </w:r>
      <w:r>
        <w:rPr>
          <w:color w:val="auto"/>
          <w:sz w:val="24"/>
          <w:highlight w:val="none"/>
        </w:rPr>
        <w:t>代表人：</w:t>
      </w:r>
    </w:p>
    <w:p>
      <w:pPr>
        <w:snapToGrid w:val="0"/>
        <w:spacing w:line="360" w:lineRule="auto"/>
        <w:ind w:firstLine="480" w:firstLineChars="200"/>
        <w:rPr>
          <w:color w:val="auto"/>
          <w:sz w:val="24"/>
          <w:highlight w:val="none"/>
        </w:rPr>
      </w:pPr>
    </w:p>
    <w:p>
      <w:pPr>
        <w:snapToGrid w:val="0"/>
        <w:spacing w:line="360" w:lineRule="auto"/>
        <w:ind w:firstLine="480" w:firstLineChars="200"/>
        <w:rPr>
          <w:rFonts w:hint="eastAsia" w:eastAsiaTheme="minorEastAsia"/>
          <w:color w:val="auto"/>
          <w:sz w:val="24"/>
          <w:highlight w:val="none"/>
          <w:lang w:eastAsia="zh-CN"/>
        </w:rPr>
      </w:pPr>
      <w:r>
        <w:rPr>
          <w:color w:val="auto"/>
          <w:sz w:val="24"/>
          <w:highlight w:val="none"/>
        </w:rPr>
        <w:t>或授权代表</w:t>
      </w:r>
      <w:r>
        <w:rPr>
          <w:rFonts w:hint="eastAsia"/>
          <w:color w:val="auto"/>
          <w:sz w:val="24"/>
          <w:highlight w:val="none"/>
          <w:lang w:eastAsia="zh-CN"/>
        </w:rPr>
        <w:t>：</w:t>
      </w:r>
    </w:p>
    <w:p>
      <w:pPr>
        <w:snapToGrid w:val="0"/>
        <w:spacing w:line="360" w:lineRule="auto"/>
        <w:ind w:firstLine="480" w:firstLineChars="200"/>
        <w:rPr>
          <w:color w:val="auto"/>
          <w:sz w:val="24"/>
          <w:highlight w:val="none"/>
        </w:rPr>
      </w:pPr>
    </w:p>
    <w:p>
      <w:pPr>
        <w:snapToGrid w:val="0"/>
        <w:spacing w:line="360" w:lineRule="auto"/>
        <w:ind w:firstLine="480" w:firstLineChars="200"/>
        <w:rPr>
          <w:color w:val="auto"/>
          <w:sz w:val="24"/>
          <w:highlight w:val="none"/>
        </w:rPr>
      </w:pPr>
    </w:p>
    <w:p>
      <w:pPr>
        <w:snapToGrid w:val="0"/>
        <w:spacing w:line="360" w:lineRule="auto"/>
        <w:ind w:firstLine="480" w:firstLineChars="200"/>
        <w:rPr>
          <w:color w:val="auto"/>
          <w:sz w:val="24"/>
          <w:highlight w:val="none"/>
        </w:rPr>
      </w:pPr>
    </w:p>
    <w:p>
      <w:pPr>
        <w:snapToGrid w:val="0"/>
        <w:spacing w:line="360" w:lineRule="auto"/>
        <w:ind w:firstLine="482" w:firstLineChars="200"/>
        <w:rPr>
          <w:b/>
          <w:color w:val="auto"/>
          <w:sz w:val="24"/>
          <w:highlight w:val="none"/>
        </w:rPr>
      </w:pPr>
      <w:r>
        <w:rPr>
          <w:rFonts w:hint="eastAsia"/>
          <w:b/>
          <w:color w:val="auto"/>
          <w:sz w:val="24"/>
          <w:highlight w:val="none"/>
        </w:rPr>
        <w:t>甲方</w:t>
      </w:r>
      <w:r>
        <w:rPr>
          <w:b/>
          <w:color w:val="auto"/>
          <w:sz w:val="24"/>
          <w:highlight w:val="none"/>
        </w:rPr>
        <w:t>业务办理预留印鉴：</w:t>
      </w:r>
      <w:r>
        <w:rPr>
          <w:rFonts w:hint="eastAsia"/>
          <w:b/>
          <w:color w:val="auto"/>
          <w:sz w:val="24"/>
          <w:highlight w:val="none"/>
        </w:rPr>
        <w:t xml:space="preserve">               </w:t>
      </w:r>
      <w:r>
        <w:rPr>
          <w:b/>
          <w:color w:val="auto"/>
          <w:sz w:val="24"/>
          <w:highlight w:val="none"/>
        </w:rPr>
        <w:t>乙方业务办理预留印鉴：</w:t>
      </w:r>
    </w:p>
    <w:p>
      <w:pPr>
        <w:snapToGrid w:val="0"/>
        <w:spacing w:line="360" w:lineRule="auto"/>
        <w:ind w:firstLine="482" w:firstLineChars="200"/>
        <w:rPr>
          <w:b/>
          <w:color w:val="auto"/>
          <w:sz w:val="24"/>
          <w:highlight w:val="none"/>
        </w:rPr>
      </w:pPr>
      <w:r>
        <w:rPr>
          <w:b/>
          <w:color w:val="auto"/>
          <w:sz w:val="24"/>
          <w:highlight w:val="none"/>
        </w:rPr>
        <mc:AlternateContent>
          <mc:Choice Requires="wps">
            <w:drawing>
              <wp:anchor distT="0" distB="0" distL="114300" distR="114300" simplePos="0" relativeHeight="251660288" behindDoc="0" locked="0" layoutInCell="1" allowOverlap="1">
                <wp:simplePos x="0" y="0"/>
                <wp:positionH relativeFrom="column">
                  <wp:posOffset>3274060</wp:posOffset>
                </wp:positionH>
                <wp:positionV relativeFrom="paragraph">
                  <wp:posOffset>201930</wp:posOffset>
                </wp:positionV>
                <wp:extent cx="2495550" cy="1813560"/>
                <wp:effectExtent l="5080" t="4445" r="13970" b="10795"/>
                <wp:wrapNone/>
                <wp:docPr id="2" name="Rectangle 2"/>
                <wp:cNvGraphicFramePr/>
                <a:graphic xmlns:a="http://schemas.openxmlformats.org/drawingml/2006/main">
                  <a:graphicData uri="http://schemas.microsoft.com/office/word/2010/wordprocessingShape">
                    <wps:wsp>
                      <wps:cNvSpPr>
                        <a:spLocks noChangeArrowheads="1"/>
                      </wps:cNvSpPr>
                      <wps:spPr bwMode="auto">
                        <a:xfrm>
                          <a:off x="0" y="0"/>
                          <a:ext cx="2495550" cy="1813560"/>
                        </a:xfrm>
                        <a:prstGeom prst="rect">
                          <a:avLst/>
                        </a:prstGeom>
                        <a:solidFill>
                          <a:srgbClr val="FFFFFF"/>
                        </a:solidFill>
                        <a:ln w="9525">
                          <a:solidFill>
                            <a:srgbClr val="000000"/>
                          </a:solidFill>
                          <a:miter lim="800000"/>
                        </a:ln>
                        <a:effectLst/>
                      </wps:spPr>
                      <wps:txbx>
                        <w:txbxContent>
                          <w:p/>
                        </w:txbxContent>
                      </wps:txbx>
                      <wps:bodyPr rot="0" vert="horz" wrap="square" lIns="91440" tIns="45720" rIns="91440" bIns="45720" anchor="t" anchorCtr="0" upright="1">
                        <a:noAutofit/>
                      </wps:bodyPr>
                    </wps:wsp>
                  </a:graphicData>
                </a:graphic>
              </wp:anchor>
            </w:drawing>
          </mc:Choice>
          <mc:Fallback>
            <w:pict>
              <v:rect id="Rectangle 2" o:spid="_x0000_s1026" o:spt="1" style="position:absolute;left:0pt;margin-left:257.8pt;margin-top:15.9pt;height:142.8pt;width:196.5pt;z-index:251660288;mso-width-relative:page;mso-height-relative:page;" fillcolor="#FFFFFF" filled="t" stroked="t" coordsize="21600,21600" o:gfxdata="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EcAd/jXAAAACgEAAA8A&#10;AAAAAAAAAQAgAAAAIgAAAGRycy9kb3ducmV2LnhtbFBLAQIUABQAAAAIAIdO4kBP0oB9GAIAAD4E&#10;AAAOAAAAAAAAAAEAIAAAACYBAABkcnMvZTJvRG9jLnhtbFBLBQYAAAAABgAGAFkBAACwBQAAAAA=&#10;">
                <v:fill on="t" focussize="0,0"/>
                <v:stroke color="#000000" miterlimit="8" joinstyle="miter"/>
                <v:imagedata o:title=""/>
                <o:lock v:ext="edit" aspectratio="f"/>
                <v:textbox>
                  <w:txbxContent>
                    <w:p/>
                  </w:txbxContent>
                </v:textbox>
              </v:rect>
            </w:pict>
          </mc:Fallback>
        </mc:AlternateContent>
      </w:r>
      <w:r>
        <w:rPr>
          <w:b/>
          <w:color w:val="auto"/>
          <w:sz w:val="24"/>
          <w:highlight w:val="none"/>
        </w:rPr>
        <mc:AlternateContent>
          <mc:Choice Requires="wps">
            <w:drawing>
              <wp:anchor distT="0" distB="0" distL="114300" distR="114300" simplePos="0" relativeHeight="251658240" behindDoc="0" locked="0" layoutInCell="1" allowOverlap="1">
                <wp:simplePos x="0" y="0"/>
                <wp:positionH relativeFrom="column">
                  <wp:posOffset>333375</wp:posOffset>
                </wp:positionH>
                <wp:positionV relativeFrom="paragraph">
                  <wp:posOffset>201295</wp:posOffset>
                </wp:positionV>
                <wp:extent cx="2428875" cy="1813560"/>
                <wp:effectExtent l="5080" t="4445" r="4445" b="10795"/>
                <wp:wrapNone/>
                <wp:docPr id="1" name="Rectangle 2"/>
                <wp:cNvGraphicFramePr/>
                <a:graphic xmlns:a="http://schemas.openxmlformats.org/drawingml/2006/main">
                  <a:graphicData uri="http://schemas.microsoft.com/office/word/2010/wordprocessingShape">
                    <wps:wsp>
                      <wps:cNvSpPr>
                        <a:spLocks noChangeArrowheads="1"/>
                      </wps:cNvSpPr>
                      <wps:spPr bwMode="auto">
                        <a:xfrm>
                          <a:off x="0" y="0"/>
                          <a:ext cx="2428875" cy="1813560"/>
                        </a:xfrm>
                        <a:prstGeom prst="rect">
                          <a:avLst/>
                        </a:prstGeom>
                        <a:solidFill>
                          <a:srgbClr val="FFFFFF"/>
                        </a:solidFill>
                        <a:ln w="9525">
                          <a:solidFill>
                            <a:srgbClr val="000000"/>
                          </a:solidFill>
                          <a:miter lim="800000"/>
                        </a:ln>
                        <a:effectLst/>
                      </wps:spPr>
                      <wps:txbx>
                        <w:txbxContent>
                          <w:p/>
                        </w:txbxContent>
                      </wps:txbx>
                      <wps:bodyPr rot="0" vert="horz" wrap="square" lIns="91440" tIns="45720" rIns="91440" bIns="45720" anchor="t" anchorCtr="0" upright="1">
                        <a:noAutofit/>
                      </wps:bodyPr>
                    </wps:wsp>
                  </a:graphicData>
                </a:graphic>
              </wp:anchor>
            </w:drawing>
          </mc:Choice>
          <mc:Fallback>
            <w:pict>
              <v:rect id="Rectangle 2" o:spid="_x0000_s1026" o:spt="1" style="position:absolute;left:0pt;margin-left:26.25pt;margin-top:15.85pt;height:142.8pt;width:191.25pt;z-index:251658240;mso-width-relative:page;mso-height-relative:page;" fillcolor="#FFFFFF" filled="t" stroked="t" coordsize="21600,21600" o:gfxdata="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C/Wmc7XAAAACQEAAA8A&#10;AAAAAAAAAQAgAAAAIgAAAGRycy9kb3ducmV2LnhtbFBLAQIUABQAAAAIAIdO4kAnyfn4GAIAAD4E&#10;AAAOAAAAAAAAAAEAIAAAACYBAABkcnMvZTJvRG9jLnhtbFBLBQYAAAAABgAGAFkBAACwBQAAAAA=&#10;">
                <v:fill on="t" focussize="0,0"/>
                <v:stroke color="#000000" miterlimit="8" joinstyle="miter"/>
                <v:imagedata o:title=""/>
                <o:lock v:ext="edit" aspectratio="f"/>
                <v:textbox>
                  <w:txbxContent>
                    <w:p/>
                  </w:txbxContent>
                </v:textbox>
              </v:rect>
            </w:pict>
          </mc:Fallback>
        </mc:AlternateContent>
      </w:r>
    </w:p>
    <w:p>
      <w:pPr>
        <w:snapToGrid w:val="0"/>
        <w:spacing w:line="360" w:lineRule="auto"/>
        <w:ind w:firstLine="482" w:firstLineChars="200"/>
        <w:rPr>
          <w:b/>
          <w:color w:val="auto"/>
          <w:sz w:val="24"/>
          <w:highlight w:val="none"/>
        </w:rPr>
      </w:pPr>
    </w:p>
    <w:p>
      <w:pPr>
        <w:snapToGrid w:val="0"/>
        <w:spacing w:line="360" w:lineRule="auto"/>
        <w:ind w:firstLine="482" w:firstLineChars="200"/>
        <w:rPr>
          <w:b/>
          <w:color w:val="auto"/>
          <w:sz w:val="24"/>
          <w:highlight w:val="none"/>
        </w:rPr>
      </w:pPr>
    </w:p>
    <w:p>
      <w:pPr>
        <w:snapToGrid w:val="0"/>
        <w:spacing w:line="360" w:lineRule="auto"/>
        <w:ind w:firstLine="482" w:firstLineChars="200"/>
        <w:rPr>
          <w:b/>
          <w:color w:val="auto"/>
          <w:sz w:val="24"/>
          <w:highlight w:val="none"/>
        </w:rPr>
      </w:pPr>
    </w:p>
    <w:p>
      <w:pPr>
        <w:snapToGrid w:val="0"/>
        <w:spacing w:line="360" w:lineRule="auto"/>
        <w:ind w:firstLine="482" w:firstLineChars="200"/>
        <w:rPr>
          <w:b/>
          <w:color w:val="auto"/>
          <w:sz w:val="24"/>
          <w:highlight w:val="none"/>
        </w:rPr>
      </w:pPr>
    </w:p>
    <w:p>
      <w:pPr>
        <w:snapToGrid w:val="0"/>
        <w:spacing w:line="360" w:lineRule="auto"/>
        <w:ind w:firstLine="482" w:firstLineChars="200"/>
        <w:rPr>
          <w:b/>
          <w:color w:val="auto"/>
          <w:sz w:val="24"/>
          <w:highlight w:val="none"/>
        </w:rPr>
      </w:pPr>
    </w:p>
    <w:p>
      <w:pPr>
        <w:snapToGrid w:val="0"/>
        <w:spacing w:line="360" w:lineRule="auto"/>
        <w:ind w:firstLine="482" w:firstLineChars="200"/>
        <w:rPr>
          <w:b/>
          <w:color w:val="auto"/>
          <w:sz w:val="24"/>
          <w:highlight w:val="none"/>
        </w:rPr>
      </w:pPr>
    </w:p>
    <w:p>
      <w:pPr>
        <w:snapToGrid w:val="0"/>
        <w:spacing w:line="360" w:lineRule="auto"/>
        <w:ind w:firstLine="480" w:firstLineChars="200"/>
        <w:rPr>
          <w:color w:val="auto"/>
          <w:sz w:val="24"/>
          <w:highlight w:val="none"/>
        </w:rPr>
      </w:pPr>
    </w:p>
    <w:p>
      <w:pPr>
        <w:snapToGrid w:val="0"/>
        <w:spacing w:line="360" w:lineRule="auto"/>
        <w:ind w:firstLine="480" w:firstLineChars="200"/>
        <w:rPr>
          <w:color w:val="auto"/>
          <w:sz w:val="24"/>
          <w:highlight w:val="none"/>
        </w:rPr>
      </w:pPr>
    </w:p>
    <w:p>
      <w:pPr>
        <w:snapToGrid w:val="0"/>
        <w:spacing w:line="360" w:lineRule="auto"/>
        <w:ind w:firstLine="480" w:firstLineChars="200"/>
        <w:rPr>
          <w:color w:val="auto"/>
          <w:sz w:val="24"/>
          <w:highlight w:val="none"/>
        </w:rPr>
      </w:pPr>
    </w:p>
    <w:p>
      <w:pPr>
        <w:snapToGrid w:val="0"/>
        <w:spacing w:line="360" w:lineRule="auto"/>
        <w:ind w:firstLine="480" w:firstLineChars="200"/>
        <w:rPr>
          <w:color w:val="auto"/>
          <w:sz w:val="24"/>
          <w:highlight w:val="none"/>
        </w:rPr>
      </w:pPr>
      <w:r>
        <w:rPr>
          <w:rFonts w:hint="eastAsia"/>
          <w:color w:val="auto"/>
          <w:sz w:val="24"/>
          <w:highlight w:val="none"/>
        </w:rPr>
        <w:t xml:space="preserve">签订时间：       </w:t>
      </w:r>
      <w:r>
        <w:rPr>
          <w:rFonts w:hint="eastAsia" w:hAnsiTheme="minorEastAsia"/>
          <w:color w:val="auto"/>
          <w:kern w:val="0"/>
          <w:sz w:val="24"/>
          <w:highlight w:val="none"/>
        </w:rPr>
        <w:t>年    月    日</w:t>
      </w:r>
    </w:p>
    <w:p>
      <w:pPr>
        <w:snapToGrid w:val="0"/>
        <w:spacing w:line="360" w:lineRule="auto"/>
        <w:ind w:firstLine="480" w:firstLineChars="200"/>
        <w:rPr>
          <w:rFonts w:hAnsiTheme="minorEastAsia"/>
          <w:color w:val="auto"/>
          <w:sz w:val="24"/>
          <w:highlight w:val="none"/>
        </w:rPr>
      </w:pPr>
      <w:r>
        <w:rPr>
          <w:rFonts w:hint="eastAsia"/>
          <w:color w:val="auto"/>
          <w:sz w:val="24"/>
          <w:highlight w:val="none"/>
        </w:rPr>
        <w:t>签订地点：</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10</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10</w:t>
                    </w:r>
                    <w:r>
                      <w:rPr>
                        <w:rFonts w:hint="eastAsia"/>
                        <w:lang w:eastAsia="zh-CN"/>
                      </w:rPr>
                      <w:fldChar w:fldCharType="end"/>
                    </w:r>
                    <w:r>
                      <w:rPr>
                        <w:rFonts w:hint="eastAsia"/>
                        <w:lang w:eastAsia="zh-CN"/>
                      </w:rP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321978C"/>
    <w:multiLevelType w:val="singleLevel"/>
    <w:tmpl w:val="A321978C"/>
    <w:lvl w:ilvl="0" w:tentative="0">
      <w:start w:val="1"/>
      <w:numFmt w:val="decimal"/>
      <w:suff w:val="space"/>
      <w:lvlText w:val="%1."/>
      <w:lvlJc w:val="left"/>
    </w:lvl>
  </w:abstractNum>
  <w:abstractNum w:abstractNumId="1">
    <w:nsid w:val="ACC9A1E4"/>
    <w:multiLevelType w:val="singleLevel"/>
    <w:tmpl w:val="ACC9A1E4"/>
    <w:lvl w:ilvl="0" w:tentative="0">
      <w:start w:val="1"/>
      <w:numFmt w:val="decimal"/>
      <w:suff w:val="space"/>
      <w:lvlText w:val="%1."/>
      <w:lvlJc w:val="left"/>
    </w:lvl>
  </w:abstractNum>
  <w:abstractNum w:abstractNumId="2">
    <w:nsid w:val="CA33B06B"/>
    <w:multiLevelType w:val="singleLevel"/>
    <w:tmpl w:val="CA33B06B"/>
    <w:lvl w:ilvl="0" w:tentative="0">
      <w:start w:val="1"/>
      <w:numFmt w:val="decimal"/>
      <w:suff w:val="space"/>
      <w:lvlText w:val="%1."/>
      <w:lvlJc w:val="left"/>
    </w:lvl>
  </w:abstractNum>
  <w:abstractNum w:abstractNumId="3">
    <w:nsid w:val="DE74C42E"/>
    <w:multiLevelType w:val="singleLevel"/>
    <w:tmpl w:val="DE74C42E"/>
    <w:lvl w:ilvl="0" w:tentative="0">
      <w:start w:val="1"/>
      <w:numFmt w:val="decimal"/>
      <w:suff w:val="space"/>
      <w:lvlText w:val="%1."/>
      <w:lvlJc w:val="left"/>
    </w:lvl>
  </w:abstractNum>
  <w:abstractNum w:abstractNumId="4">
    <w:nsid w:val="E829969C"/>
    <w:multiLevelType w:val="singleLevel"/>
    <w:tmpl w:val="E829969C"/>
    <w:lvl w:ilvl="0" w:tentative="0">
      <w:start w:val="1"/>
      <w:numFmt w:val="chineseCounting"/>
      <w:suff w:val="space"/>
      <w:lvlText w:val="（%1）"/>
      <w:lvlJc w:val="left"/>
      <w:rPr>
        <w:rFonts w:hint="eastAsia"/>
      </w:rPr>
    </w:lvl>
  </w:abstractNum>
  <w:abstractNum w:abstractNumId="5">
    <w:nsid w:val="F53E0C1A"/>
    <w:multiLevelType w:val="singleLevel"/>
    <w:tmpl w:val="F53E0C1A"/>
    <w:lvl w:ilvl="0" w:tentative="0">
      <w:start w:val="1"/>
      <w:numFmt w:val="decimal"/>
      <w:suff w:val="space"/>
      <w:lvlText w:val="%1."/>
      <w:lvlJc w:val="left"/>
    </w:lvl>
  </w:abstractNum>
  <w:abstractNum w:abstractNumId="6">
    <w:nsid w:val="05FD041B"/>
    <w:multiLevelType w:val="singleLevel"/>
    <w:tmpl w:val="05FD041B"/>
    <w:lvl w:ilvl="0" w:tentative="0">
      <w:start w:val="1"/>
      <w:numFmt w:val="chineseCounting"/>
      <w:suff w:val="space"/>
      <w:lvlText w:val="（%1）"/>
      <w:lvlJc w:val="left"/>
      <w:rPr>
        <w:rFonts w:hint="eastAsia"/>
      </w:rPr>
    </w:lvl>
  </w:abstractNum>
  <w:abstractNum w:abstractNumId="7">
    <w:nsid w:val="14E602A4"/>
    <w:multiLevelType w:val="singleLevel"/>
    <w:tmpl w:val="14E602A4"/>
    <w:lvl w:ilvl="0" w:tentative="0">
      <w:start w:val="1"/>
      <w:numFmt w:val="chineseCounting"/>
      <w:suff w:val="space"/>
      <w:lvlText w:val="（%1）"/>
      <w:lvlJc w:val="left"/>
      <w:rPr>
        <w:rFonts w:hint="eastAsia"/>
      </w:rPr>
    </w:lvl>
  </w:abstractNum>
  <w:abstractNum w:abstractNumId="8">
    <w:nsid w:val="15F2C0B0"/>
    <w:multiLevelType w:val="singleLevel"/>
    <w:tmpl w:val="15F2C0B0"/>
    <w:lvl w:ilvl="0" w:tentative="0">
      <w:start w:val="1"/>
      <w:numFmt w:val="decimal"/>
      <w:suff w:val="space"/>
      <w:lvlText w:val="%1."/>
      <w:lvlJc w:val="left"/>
    </w:lvl>
  </w:abstractNum>
  <w:abstractNum w:abstractNumId="9">
    <w:nsid w:val="3062D64A"/>
    <w:multiLevelType w:val="singleLevel"/>
    <w:tmpl w:val="3062D64A"/>
    <w:lvl w:ilvl="0" w:tentative="0">
      <w:start w:val="1"/>
      <w:numFmt w:val="chineseCounting"/>
      <w:suff w:val="space"/>
      <w:lvlText w:val="第%1条"/>
      <w:lvlJc w:val="left"/>
      <w:rPr>
        <w:rFonts w:hint="eastAsia"/>
      </w:rPr>
    </w:lvl>
  </w:abstractNum>
  <w:abstractNum w:abstractNumId="10">
    <w:nsid w:val="4854C16E"/>
    <w:multiLevelType w:val="singleLevel"/>
    <w:tmpl w:val="4854C16E"/>
    <w:lvl w:ilvl="0" w:tentative="0">
      <w:start w:val="1"/>
      <w:numFmt w:val="chineseCounting"/>
      <w:suff w:val="space"/>
      <w:lvlText w:val="（%1）"/>
      <w:lvlJc w:val="left"/>
      <w:rPr>
        <w:rFonts w:hint="eastAsia"/>
      </w:rPr>
    </w:lvl>
  </w:abstractNum>
  <w:abstractNum w:abstractNumId="11">
    <w:nsid w:val="54B7E2C0"/>
    <w:multiLevelType w:val="singleLevel"/>
    <w:tmpl w:val="54B7E2C0"/>
    <w:lvl w:ilvl="0" w:tentative="0">
      <w:start w:val="1"/>
      <w:numFmt w:val="chineseCounting"/>
      <w:suff w:val="space"/>
      <w:lvlText w:val="（%1）"/>
      <w:lvlJc w:val="left"/>
      <w:rPr>
        <w:rFonts w:hint="eastAsia"/>
      </w:rPr>
    </w:lvl>
  </w:abstractNum>
  <w:abstractNum w:abstractNumId="12">
    <w:nsid w:val="5A21869B"/>
    <w:multiLevelType w:val="singleLevel"/>
    <w:tmpl w:val="5A21869B"/>
    <w:lvl w:ilvl="0" w:tentative="0">
      <w:start w:val="1"/>
      <w:numFmt w:val="chineseCounting"/>
      <w:suff w:val="space"/>
      <w:lvlText w:val="（%1）"/>
      <w:lvlJc w:val="left"/>
      <w:rPr>
        <w:rFonts w:hint="eastAsia"/>
      </w:rPr>
    </w:lvl>
  </w:abstractNum>
  <w:abstractNum w:abstractNumId="13">
    <w:nsid w:val="634847B2"/>
    <w:multiLevelType w:val="singleLevel"/>
    <w:tmpl w:val="634847B2"/>
    <w:lvl w:ilvl="0" w:tentative="0">
      <w:start w:val="1"/>
      <w:numFmt w:val="chineseCounting"/>
      <w:suff w:val="space"/>
      <w:lvlText w:val="（%1）"/>
      <w:lvlJc w:val="left"/>
      <w:rPr>
        <w:rFonts w:hint="eastAsia"/>
      </w:rPr>
    </w:lvl>
  </w:abstractNum>
  <w:abstractNum w:abstractNumId="14">
    <w:nsid w:val="6890F3B2"/>
    <w:multiLevelType w:val="singleLevel"/>
    <w:tmpl w:val="6890F3B2"/>
    <w:lvl w:ilvl="0" w:tentative="0">
      <w:start w:val="1"/>
      <w:numFmt w:val="decimal"/>
      <w:suff w:val="space"/>
      <w:lvlText w:val="%1."/>
      <w:lvlJc w:val="left"/>
    </w:lvl>
  </w:abstractNum>
  <w:abstractNum w:abstractNumId="15">
    <w:nsid w:val="6C5D2E9E"/>
    <w:multiLevelType w:val="singleLevel"/>
    <w:tmpl w:val="6C5D2E9E"/>
    <w:lvl w:ilvl="0" w:tentative="0">
      <w:start w:val="1"/>
      <w:numFmt w:val="decimal"/>
      <w:suff w:val="space"/>
      <w:lvlText w:val="%1."/>
      <w:lvlJc w:val="left"/>
    </w:lvl>
  </w:abstractNum>
  <w:abstractNum w:abstractNumId="16">
    <w:nsid w:val="748A01CC"/>
    <w:multiLevelType w:val="singleLevel"/>
    <w:tmpl w:val="748A01CC"/>
    <w:lvl w:ilvl="0" w:tentative="0">
      <w:start w:val="1"/>
      <w:numFmt w:val="decimal"/>
      <w:suff w:val="space"/>
      <w:lvlText w:val="%1."/>
      <w:lvlJc w:val="left"/>
    </w:lvl>
  </w:abstractNum>
  <w:num w:numId="1">
    <w:abstractNumId w:val="9"/>
  </w:num>
  <w:num w:numId="2">
    <w:abstractNumId w:val="12"/>
  </w:num>
  <w:num w:numId="3">
    <w:abstractNumId w:val="4"/>
  </w:num>
  <w:num w:numId="4">
    <w:abstractNumId w:val="13"/>
  </w:num>
  <w:num w:numId="5">
    <w:abstractNumId w:val="15"/>
  </w:num>
  <w:num w:numId="6">
    <w:abstractNumId w:val="14"/>
  </w:num>
  <w:num w:numId="7">
    <w:abstractNumId w:val="8"/>
  </w:num>
  <w:num w:numId="8">
    <w:abstractNumId w:val="0"/>
  </w:num>
  <w:num w:numId="9">
    <w:abstractNumId w:val="11"/>
  </w:num>
  <w:num w:numId="10">
    <w:abstractNumId w:val="6"/>
  </w:num>
  <w:num w:numId="11">
    <w:abstractNumId w:val="10"/>
  </w:num>
  <w:num w:numId="12">
    <w:abstractNumId w:val="1"/>
  </w:num>
  <w:num w:numId="13">
    <w:abstractNumId w:val="2"/>
  </w:num>
  <w:num w:numId="14">
    <w:abstractNumId w:val="5"/>
  </w:num>
  <w:num w:numId="15">
    <w:abstractNumId w:val="16"/>
  </w:num>
  <w:num w:numId="16">
    <w:abstractNumId w:val="3"/>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966F99"/>
    <w:rsid w:val="00037AF3"/>
    <w:rsid w:val="00075E81"/>
    <w:rsid w:val="0008629F"/>
    <w:rsid w:val="000C5ECE"/>
    <w:rsid w:val="001075D3"/>
    <w:rsid w:val="001155BC"/>
    <w:rsid w:val="00157F2F"/>
    <w:rsid w:val="001B2E4A"/>
    <w:rsid w:val="001C21D7"/>
    <w:rsid w:val="001D5879"/>
    <w:rsid w:val="001E63DB"/>
    <w:rsid w:val="00266F56"/>
    <w:rsid w:val="002802B0"/>
    <w:rsid w:val="002A63B3"/>
    <w:rsid w:val="002D715F"/>
    <w:rsid w:val="00313B09"/>
    <w:rsid w:val="00342214"/>
    <w:rsid w:val="00372407"/>
    <w:rsid w:val="00380503"/>
    <w:rsid w:val="003943BD"/>
    <w:rsid w:val="003D066E"/>
    <w:rsid w:val="003D7D3E"/>
    <w:rsid w:val="00434B91"/>
    <w:rsid w:val="004471D7"/>
    <w:rsid w:val="004537C0"/>
    <w:rsid w:val="004C423F"/>
    <w:rsid w:val="00557EDF"/>
    <w:rsid w:val="005854FE"/>
    <w:rsid w:val="00597CE2"/>
    <w:rsid w:val="005A60FC"/>
    <w:rsid w:val="005B2E0E"/>
    <w:rsid w:val="005E062D"/>
    <w:rsid w:val="00606BF0"/>
    <w:rsid w:val="00645FEE"/>
    <w:rsid w:val="00647222"/>
    <w:rsid w:val="00661624"/>
    <w:rsid w:val="006F5FDD"/>
    <w:rsid w:val="00723E01"/>
    <w:rsid w:val="00740394"/>
    <w:rsid w:val="007602B8"/>
    <w:rsid w:val="007824E1"/>
    <w:rsid w:val="007859F5"/>
    <w:rsid w:val="00797594"/>
    <w:rsid w:val="007D6AC0"/>
    <w:rsid w:val="008115DB"/>
    <w:rsid w:val="008819C2"/>
    <w:rsid w:val="00882823"/>
    <w:rsid w:val="00894278"/>
    <w:rsid w:val="008B6ACD"/>
    <w:rsid w:val="009008C4"/>
    <w:rsid w:val="0092104E"/>
    <w:rsid w:val="009445FE"/>
    <w:rsid w:val="009922F3"/>
    <w:rsid w:val="009B1739"/>
    <w:rsid w:val="009F4329"/>
    <w:rsid w:val="00A42865"/>
    <w:rsid w:val="00AD10F9"/>
    <w:rsid w:val="00B2107F"/>
    <w:rsid w:val="00B750C4"/>
    <w:rsid w:val="00B80904"/>
    <w:rsid w:val="00B82D71"/>
    <w:rsid w:val="00B869FF"/>
    <w:rsid w:val="00BC2F50"/>
    <w:rsid w:val="00BC3F94"/>
    <w:rsid w:val="00C101B2"/>
    <w:rsid w:val="00C56BF1"/>
    <w:rsid w:val="00C86D89"/>
    <w:rsid w:val="00CD2785"/>
    <w:rsid w:val="00CF0744"/>
    <w:rsid w:val="00DE58CD"/>
    <w:rsid w:val="00E06378"/>
    <w:rsid w:val="00E14CF8"/>
    <w:rsid w:val="00E73874"/>
    <w:rsid w:val="00F538E9"/>
    <w:rsid w:val="00F636DD"/>
    <w:rsid w:val="00F67A99"/>
    <w:rsid w:val="00F95120"/>
    <w:rsid w:val="00FA3F5D"/>
    <w:rsid w:val="00FB2C01"/>
    <w:rsid w:val="00FD3791"/>
    <w:rsid w:val="00FE7963"/>
    <w:rsid w:val="00FF5823"/>
    <w:rsid w:val="01C31BA2"/>
    <w:rsid w:val="028E2F28"/>
    <w:rsid w:val="05051F89"/>
    <w:rsid w:val="09B97376"/>
    <w:rsid w:val="0D7A3F57"/>
    <w:rsid w:val="0DD5244B"/>
    <w:rsid w:val="165F5355"/>
    <w:rsid w:val="17795B4C"/>
    <w:rsid w:val="1ECE730A"/>
    <w:rsid w:val="2968745E"/>
    <w:rsid w:val="2AD109F0"/>
    <w:rsid w:val="2C751B98"/>
    <w:rsid w:val="2D5650C3"/>
    <w:rsid w:val="2ED92CDC"/>
    <w:rsid w:val="34F947E2"/>
    <w:rsid w:val="37D2624E"/>
    <w:rsid w:val="3C50370E"/>
    <w:rsid w:val="3CC27523"/>
    <w:rsid w:val="3DF51032"/>
    <w:rsid w:val="3FA467D7"/>
    <w:rsid w:val="42030C9C"/>
    <w:rsid w:val="430D1616"/>
    <w:rsid w:val="44FA4C23"/>
    <w:rsid w:val="466F368E"/>
    <w:rsid w:val="471437CB"/>
    <w:rsid w:val="47D3254C"/>
    <w:rsid w:val="48665601"/>
    <w:rsid w:val="490C3A90"/>
    <w:rsid w:val="493A6421"/>
    <w:rsid w:val="4AC5546A"/>
    <w:rsid w:val="4DD51E41"/>
    <w:rsid w:val="4DF83A4C"/>
    <w:rsid w:val="4E2B7A87"/>
    <w:rsid w:val="537454D2"/>
    <w:rsid w:val="544302C8"/>
    <w:rsid w:val="5B342F1F"/>
    <w:rsid w:val="5C966F99"/>
    <w:rsid w:val="6104371A"/>
    <w:rsid w:val="63123E78"/>
    <w:rsid w:val="66513E42"/>
    <w:rsid w:val="70AB3AE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nhideWhenUsed="0" w:uiPriority="0" w:semiHidden="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8"/>
    <w:qFormat/>
    <w:uiPriority w:val="0"/>
    <w:rPr>
      <w:rFonts w:ascii="宋体" w:eastAsia="宋体"/>
      <w:sz w:val="18"/>
      <w:szCs w:val="18"/>
    </w:rPr>
  </w:style>
  <w:style w:type="paragraph" w:styleId="3">
    <w:name w:val="footer"/>
    <w:basedOn w:val="1"/>
    <w:unhideWhenUsed/>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customStyle="1" w:styleId="8">
    <w:name w:val="批注框文本 字符"/>
    <w:basedOn w:val="6"/>
    <w:link w:val="2"/>
    <w:qFormat/>
    <w:uiPriority w:val="0"/>
    <w:rPr>
      <w:rFonts w:ascii="宋体" w:eastAsia="宋体"/>
      <w:kern w:val="2"/>
      <w:sz w:val="18"/>
      <w:szCs w:val="18"/>
    </w:rPr>
  </w:style>
  <w:style w:type="character" w:customStyle="1" w:styleId="9">
    <w:name w:val="页眉 字符"/>
    <w:basedOn w:val="6"/>
    <w:link w:val="4"/>
    <w:qFormat/>
    <w:uiPriority w:val="0"/>
    <w:rPr>
      <w:kern w:val="2"/>
      <w:sz w:val="18"/>
      <w:szCs w:val="18"/>
    </w:rPr>
  </w:style>
  <w:style w:type="paragraph" w:styleId="10">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880</Words>
  <Characters>5021</Characters>
  <Lines>41</Lines>
  <Paragraphs>11</Paragraphs>
  <TotalTime>2</TotalTime>
  <ScaleCrop>false</ScaleCrop>
  <LinksUpToDate>false</LinksUpToDate>
  <CharactersWithSpaces>5890</CharactersWithSpaces>
  <Application>WPS Office_11.8.2.8593_F1E327BC-269C-435d-A152-05C5408002CA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2019-06-21T07:49:00Z</dcterms:created>
  <dc:creator>帅哥哥</dc:creator>
  <cp:lastModifiedBy>enid</cp:lastModifiedBy>
  <cp:lastPrinted>2020-11-23T00:39:00Z</cp:lastPrinted>
  <dcterms:modified xsi:type="dcterms:W3CDTF">2021-10-19T08:43:18Z</dcterms:modified>
  <cp:revision>64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ies>
</file>